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  <w:lang w:eastAsia="zh-Hans"/>
        </w:rPr>
      </w:pPr>
      <w:r>
        <w:rPr>
          <w:rFonts w:hint="eastAsia" w:ascii="方正小标宋简体" w:hAnsi="宋体" w:eastAsia="方正小标宋简体" w:cs="宋体"/>
          <w:color w:val="auto"/>
          <w:kern w:val="0"/>
          <w:sz w:val="34"/>
          <w:szCs w:val="34"/>
          <w:highlight w:val="none"/>
          <w:shd w:val="clear" w:color="auto" w:fill="auto"/>
          <w:lang w:eastAsia="zh-Hans"/>
        </w:rPr>
        <w:t>广东海洋大学研究生综合测评办法（征求意见稿）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360" w:lineRule="auto"/>
        <w:jc w:val="center"/>
        <w:textAlignment w:val="auto"/>
        <w:rPr>
          <w:rFonts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  <w:lang w:eastAsia="zh-Hans"/>
        </w:rPr>
      </w:pPr>
      <w:r>
        <w:rPr>
          <w:rFonts w:hint="eastAsia" w:ascii="黑体" w:hAnsi="黑体" w:eastAsia="黑体" w:cs="宋体"/>
          <w:color w:val="auto"/>
          <w:kern w:val="0"/>
          <w:sz w:val="26"/>
          <w:szCs w:val="26"/>
          <w:highlight w:val="none"/>
          <w:shd w:val="clear" w:color="auto" w:fill="auto"/>
          <w:lang w:eastAsia="zh-Hans"/>
        </w:rPr>
        <w:t>第一章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  <w:lang w:eastAsia="zh-Hans"/>
        </w:rPr>
        <w:t> </w:t>
      </w:r>
      <w:r>
        <w:rPr>
          <w:rFonts w:hint="eastAsia" w:ascii="黑体" w:hAnsi="黑体" w:eastAsia="黑体" w:cs="宋体"/>
          <w:color w:val="auto"/>
          <w:kern w:val="0"/>
          <w:sz w:val="26"/>
          <w:szCs w:val="26"/>
          <w:highlight w:val="none"/>
          <w:shd w:val="clear" w:color="auto" w:fill="auto"/>
          <w:lang w:eastAsia="zh-Hans"/>
        </w:rPr>
        <w:t xml:space="preserve"> 总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  <w:lang w:eastAsia="zh-Hans"/>
        </w:rPr>
        <w:t> </w:t>
      </w:r>
      <w:r>
        <w:rPr>
          <w:rFonts w:hint="eastAsia" w:ascii="黑体" w:hAnsi="黑体" w:eastAsia="黑体" w:cs="宋体"/>
          <w:color w:val="auto"/>
          <w:kern w:val="0"/>
          <w:sz w:val="26"/>
          <w:szCs w:val="26"/>
          <w:highlight w:val="none"/>
          <w:shd w:val="clear" w:color="auto" w:fill="auto"/>
          <w:lang w:eastAsia="zh-Hans"/>
        </w:rPr>
        <w:t xml:space="preserve"> 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360" w:lineRule="auto"/>
        <w:ind w:firstLine="660"/>
        <w:jc w:val="left"/>
        <w:textAlignment w:val="auto"/>
        <w:rPr>
          <w:rFonts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  <w:lang w:eastAsia="zh-Hans"/>
        </w:rPr>
      </w:pPr>
      <w:r>
        <w:rPr>
          <w:rFonts w:hint="eastAsia" w:ascii="宋体" w:hAnsi="宋体" w:cs="宋体"/>
          <w:b/>
          <w:bCs/>
          <w:color w:val="auto"/>
          <w:kern w:val="0"/>
          <w:sz w:val="26"/>
          <w:szCs w:val="26"/>
          <w:highlight w:val="none"/>
          <w:shd w:val="clear" w:color="auto" w:fill="auto"/>
          <w:lang w:eastAsia="zh-Hans"/>
        </w:rPr>
        <w:t>第一条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  <w:lang w:eastAsia="zh-Hans"/>
        </w:rPr>
        <w:t xml:space="preserve"> 为了贯彻落实党和国家的教育方针，促进研究生全面发展，提高人才培养质量，根据《教育部关于深化研究生教育改革的意见》（财教〔2013〕19号）的精神，结合学校实际，制定本办法。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360" w:lineRule="auto"/>
        <w:ind w:firstLine="660"/>
        <w:jc w:val="left"/>
        <w:textAlignment w:val="auto"/>
        <w:rPr>
          <w:rFonts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</w:rPr>
      </w:pPr>
      <w:r>
        <w:rPr>
          <w:rFonts w:hint="eastAsia" w:ascii="宋体" w:hAnsi="宋体" w:cs="宋体"/>
          <w:b/>
          <w:bCs/>
          <w:color w:val="auto"/>
          <w:kern w:val="0"/>
          <w:sz w:val="26"/>
          <w:szCs w:val="26"/>
          <w:highlight w:val="none"/>
          <w:shd w:val="clear" w:color="auto" w:fill="auto"/>
        </w:rPr>
        <w:t xml:space="preserve">第二条 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  <w:lang w:eastAsia="zh-Hans"/>
        </w:rPr>
        <w:t>本办法适用于学校按照国家计划任务招收的全日制硕士、博士研究生，留学生研究生暂不按本办法参加测评。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360" w:lineRule="auto"/>
        <w:ind w:firstLine="660"/>
        <w:jc w:val="left"/>
        <w:textAlignment w:val="auto"/>
        <w:rPr>
          <w:rFonts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</w:rPr>
      </w:pPr>
      <w:r>
        <w:rPr>
          <w:rFonts w:hint="eastAsia" w:ascii="宋体" w:hAnsi="宋体" w:cs="宋体"/>
          <w:b/>
          <w:bCs/>
          <w:color w:val="auto"/>
          <w:kern w:val="0"/>
          <w:sz w:val="26"/>
          <w:szCs w:val="26"/>
          <w:highlight w:val="none"/>
          <w:shd w:val="clear" w:color="auto" w:fill="auto"/>
        </w:rPr>
        <w:t>第三条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</w:rPr>
        <w:t xml:space="preserve"> 研究生综合测评按照“坚持公开、公平、公正，全面衡量、突出重点，量化评定和质量要求相结合，激励与鞭策警戒相结合，个人自评和组织评议相结合”的原则。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360" w:lineRule="auto"/>
        <w:jc w:val="center"/>
        <w:textAlignment w:val="auto"/>
        <w:rPr>
          <w:rFonts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</w:rPr>
      </w:pPr>
      <w:r>
        <w:rPr>
          <w:rFonts w:hint="eastAsia" w:ascii="黑体" w:hAnsi="黑体" w:eastAsia="黑体" w:cs="宋体"/>
          <w:color w:val="auto"/>
          <w:kern w:val="0"/>
          <w:sz w:val="26"/>
          <w:szCs w:val="26"/>
          <w:highlight w:val="none"/>
          <w:shd w:val="clear" w:color="auto" w:fill="auto"/>
        </w:rPr>
        <w:t>第二章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</w:rPr>
        <w:t> </w:t>
      </w:r>
      <w:r>
        <w:rPr>
          <w:rFonts w:hint="eastAsia" w:ascii="黑体" w:hAnsi="黑体" w:eastAsia="黑体" w:cs="宋体"/>
          <w:color w:val="auto"/>
          <w:kern w:val="0"/>
          <w:sz w:val="26"/>
          <w:szCs w:val="26"/>
          <w:highlight w:val="none"/>
          <w:shd w:val="clear" w:color="auto" w:fill="auto"/>
        </w:rPr>
        <w:t xml:space="preserve"> </w:t>
      </w:r>
      <w:r>
        <w:rPr>
          <w:rFonts w:hint="eastAsia" w:ascii="黑体" w:hAnsi="黑体" w:eastAsia="黑体" w:cs="宋体"/>
          <w:color w:val="auto"/>
          <w:kern w:val="0"/>
          <w:sz w:val="26"/>
          <w:szCs w:val="26"/>
          <w:highlight w:val="none"/>
          <w:shd w:val="clear" w:color="auto" w:fill="auto"/>
          <w:lang w:eastAsia="zh-Hans"/>
        </w:rPr>
        <w:t>评价项目及权重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360" w:lineRule="auto"/>
        <w:ind w:firstLine="660"/>
        <w:jc w:val="left"/>
        <w:textAlignment w:val="auto"/>
        <w:rPr>
          <w:rFonts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</w:rPr>
      </w:pPr>
      <w:r>
        <w:rPr>
          <w:rFonts w:hint="eastAsia" w:ascii="宋体" w:hAnsi="宋体" w:cs="宋体"/>
          <w:b/>
          <w:bCs/>
          <w:color w:val="auto"/>
          <w:kern w:val="0"/>
          <w:sz w:val="26"/>
          <w:szCs w:val="26"/>
          <w:highlight w:val="none"/>
          <w:shd w:val="clear" w:color="auto" w:fill="auto"/>
        </w:rPr>
        <w:t>第四条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</w:rPr>
        <w:t xml:space="preserve"> 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  <w:lang w:eastAsia="zh-Hans"/>
        </w:rPr>
        <w:t>研究生综合测评包括思想品德及在校表现、学习成绩、科学研究、社会实践等四个方面，按照研究生招生类型和阶段的特点和要求，设定权重。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360" w:lineRule="auto"/>
        <w:ind w:firstLine="660"/>
        <w:jc w:val="left"/>
        <w:textAlignment w:val="auto"/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  <w:lang w:eastAsia="zh-Hans"/>
        </w:rPr>
      </w:pPr>
      <w:r>
        <w:rPr>
          <w:rFonts w:hint="eastAsia" w:ascii="宋体" w:hAnsi="宋体" w:cs="宋体"/>
          <w:b/>
          <w:bCs/>
          <w:color w:val="auto"/>
          <w:kern w:val="0"/>
          <w:sz w:val="26"/>
          <w:szCs w:val="26"/>
          <w:highlight w:val="none"/>
          <w:shd w:val="clear" w:color="auto" w:fill="auto"/>
        </w:rPr>
        <w:t>第五条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</w:rPr>
        <w:t xml:space="preserve"> 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  <w:lang w:eastAsia="zh-Hans"/>
        </w:rPr>
        <w:t>研究生综合测评</w:t>
      </w:r>
      <w:r>
        <w:rPr>
          <w:rFonts w:hint="eastAsia" w:ascii="宋体" w:hAnsi="宋体" w:cs="宋体"/>
          <w:b/>
          <w:color w:val="auto"/>
          <w:kern w:val="0"/>
          <w:sz w:val="26"/>
          <w:szCs w:val="26"/>
          <w:highlight w:val="none"/>
          <w:shd w:val="clear" w:color="auto" w:fill="auto"/>
        </w:rPr>
        <w:t>根据学年业绩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  <w:lang w:eastAsia="zh-Hans"/>
        </w:rPr>
        <w:t>计分，具体项目及权重如下：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360" w:lineRule="auto"/>
        <w:ind w:firstLine="660"/>
        <w:jc w:val="center"/>
        <w:textAlignment w:val="auto"/>
        <w:rPr>
          <w:rFonts w:hint="default" w:ascii="宋体" w:hAnsi="宋体" w:eastAsia="宋体" w:cs="宋体"/>
          <w:color w:val="auto"/>
          <w:kern w:val="0"/>
          <w:sz w:val="26"/>
          <w:szCs w:val="26"/>
          <w:highlight w:val="none"/>
          <w:shd w:val="clear" w:color="auto" w:fill="auto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  <w:lang w:val="en-US" w:eastAsia="zh-CN"/>
        </w:rPr>
        <w:t>表1：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  <w:lang w:eastAsia="zh-Hans"/>
        </w:rPr>
        <w:t>研究生综合测评具体项目及权重</w:t>
      </w:r>
    </w:p>
    <w:tbl>
      <w:tblPr>
        <w:tblStyle w:val="2"/>
        <w:tblW w:w="900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060"/>
        <w:gridCol w:w="1080"/>
        <w:gridCol w:w="1800"/>
        <w:gridCol w:w="1260"/>
        <w:gridCol w:w="180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306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宋体" w:hAnsi="宋体" w:cs="宋体"/>
                <w:b/>
                <w:bCs/>
                <w:color w:val="auto"/>
                <w:kern w:val="0"/>
                <w:sz w:val="22"/>
                <w:highlight w:val="none"/>
                <w:shd w:val="clear" w:color="auto" w:fill="auto"/>
              </w:rPr>
              <w:t>项  目</w:t>
            </w:r>
          </w:p>
        </w:tc>
        <w:tc>
          <w:tcPr>
            <w:tcW w:w="288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highlight w:val="none"/>
                <w:shd w:val="clear" w:color="auto" w:fill="auto"/>
              </w:rPr>
              <w:t>第一学年计分</w:t>
            </w:r>
            <w:r>
              <w:rPr>
                <w:rFonts w:ascii="宋体" w:hAnsi="宋体" w:cs="宋体"/>
                <w:b/>
                <w:bCs/>
                <w:color w:val="auto"/>
                <w:kern w:val="0"/>
                <w:sz w:val="22"/>
                <w:highlight w:val="none"/>
                <w:shd w:val="clear" w:color="auto" w:fill="auto"/>
              </w:rPr>
              <w:t>权重（%）</w:t>
            </w:r>
          </w:p>
        </w:tc>
        <w:tc>
          <w:tcPr>
            <w:tcW w:w="306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highlight w:val="none"/>
                <w:shd w:val="clear" w:color="auto" w:fill="auto"/>
              </w:rPr>
              <w:t>第二、三学年计分权重</w:t>
            </w:r>
            <w:r>
              <w:rPr>
                <w:rFonts w:ascii="宋体" w:hAnsi="宋体" w:cs="宋体"/>
                <w:b/>
                <w:bCs/>
                <w:color w:val="auto"/>
                <w:kern w:val="0"/>
                <w:sz w:val="22"/>
                <w:highlight w:val="none"/>
                <w:shd w:val="clear" w:color="auto" w:fill="auto"/>
              </w:rPr>
              <w:t>（%）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宋体" w:hAnsi="宋体" w:cs="宋体"/>
                <w:b/>
                <w:bCs/>
                <w:color w:val="auto"/>
                <w:kern w:val="0"/>
                <w:sz w:val="22"/>
                <w:highlight w:val="none"/>
                <w:shd w:val="clear" w:color="auto" w:fill="auto"/>
              </w:rPr>
              <w:t>学术型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宋体" w:hAnsi="宋体" w:cs="宋体"/>
                <w:b/>
                <w:bCs/>
                <w:color w:val="auto"/>
                <w:kern w:val="0"/>
                <w:sz w:val="22"/>
                <w:highlight w:val="none"/>
                <w:shd w:val="clear" w:color="auto" w:fill="auto"/>
              </w:rPr>
              <w:t>专业学位型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宋体" w:hAnsi="宋体" w:cs="宋体"/>
                <w:b/>
                <w:bCs/>
                <w:color w:val="auto"/>
                <w:kern w:val="0"/>
                <w:sz w:val="22"/>
                <w:highlight w:val="none"/>
                <w:shd w:val="clear" w:color="auto" w:fill="auto"/>
              </w:rPr>
              <w:t>学术型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宋体" w:hAnsi="宋体" w:cs="宋体"/>
                <w:b/>
                <w:bCs/>
                <w:color w:val="auto"/>
                <w:kern w:val="0"/>
                <w:sz w:val="22"/>
                <w:highlight w:val="none"/>
                <w:shd w:val="clear" w:color="auto" w:fill="auto"/>
              </w:rPr>
              <w:t>专业学位型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jc w:val="left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宋体" w:hAnsi="宋体" w:cs="宋体"/>
                <w:color w:val="auto"/>
                <w:kern w:val="0"/>
                <w:sz w:val="22"/>
                <w:highlight w:val="none"/>
                <w:shd w:val="clear" w:color="auto" w:fill="auto"/>
              </w:rPr>
              <w:t>A、思想品德及日常表现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宋体" w:hAnsi="宋体" w:cs="宋体"/>
                <w:color w:val="auto"/>
                <w:kern w:val="0"/>
                <w:sz w:val="22"/>
                <w:highlight w:val="none"/>
                <w:shd w:val="clear" w:color="auto" w:fill="auto"/>
              </w:rPr>
              <w:t>10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宋体" w:hAnsi="宋体" w:cs="宋体"/>
                <w:color w:val="auto"/>
                <w:kern w:val="0"/>
                <w:sz w:val="22"/>
                <w:highlight w:val="none"/>
                <w:shd w:val="clear" w:color="auto" w:fill="auto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宋体" w:hAnsi="宋体" w:cs="宋体"/>
                <w:color w:val="auto"/>
                <w:kern w:val="0"/>
                <w:sz w:val="22"/>
                <w:highlight w:val="none"/>
                <w:shd w:val="clear" w:color="auto" w:fill="auto"/>
              </w:rPr>
              <w:t>10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宋体" w:hAnsi="宋体" w:cs="宋体"/>
                <w:color w:val="auto"/>
                <w:kern w:val="0"/>
                <w:sz w:val="22"/>
                <w:highlight w:val="none"/>
                <w:shd w:val="clear" w:color="auto" w:fill="auto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  <w:jc w:val="center"/>
        </w:trPr>
        <w:tc>
          <w:tcPr>
            <w:tcW w:w="3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jc w:val="left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宋体" w:hAnsi="宋体" w:cs="宋体"/>
                <w:color w:val="auto"/>
                <w:kern w:val="0"/>
                <w:sz w:val="22"/>
                <w:highlight w:val="none"/>
                <w:shd w:val="clear" w:color="auto" w:fill="auto"/>
              </w:rPr>
              <w:t>B、课程学习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宋体" w:hAnsi="宋体" w:cs="宋体"/>
                <w:color w:val="auto"/>
                <w:kern w:val="0"/>
                <w:sz w:val="22"/>
                <w:highlight w:val="none"/>
                <w:shd w:val="clear" w:color="auto" w:fill="auto"/>
              </w:rPr>
              <w:t>50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jc w:val="center"/>
              <w:textAlignment w:val="auto"/>
              <w:rPr>
                <w:rFonts w:ascii="宋体" w:hAnsi="宋体" w:cs="宋体"/>
                <w:b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宋体" w:hAnsi="宋体" w:cs="宋体"/>
                <w:b/>
                <w:color w:val="auto"/>
                <w:kern w:val="0"/>
                <w:sz w:val="22"/>
                <w:highlight w:val="none"/>
                <w:shd w:val="clear" w:color="auto" w:fill="auto"/>
              </w:rPr>
              <w:t>50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宋体" w:hAnsi="宋体" w:cs="宋体"/>
                <w:color w:val="auto"/>
                <w:kern w:val="0"/>
                <w:sz w:val="22"/>
                <w:highlight w:val="none"/>
                <w:shd w:val="clear" w:color="auto" w:fill="auto"/>
              </w:rPr>
              <w:t>25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宋体" w:hAnsi="宋体" w:cs="宋体"/>
                <w:color w:val="auto"/>
                <w:kern w:val="0"/>
                <w:sz w:val="22"/>
                <w:highlight w:val="none"/>
                <w:shd w:val="clear" w:color="auto" w:fill="auto"/>
              </w:rPr>
              <w:t>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jc w:val="left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宋体" w:hAnsi="宋体" w:cs="宋体"/>
                <w:color w:val="auto"/>
                <w:kern w:val="0"/>
                <w:sz w:val="22"/>
                <w:highlight w:val="none"/>
                <w:shd w:val="clear" w:color="auto" w:fill="auto"/>
              </w:rPr>
              <w:t>C、科学研究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jc w:val="center"/>
              <w:textAlignment w:val="auto"/>
              <w:rPr>
                <w:rFonts w:ascii="宋体" w:hAnsi="宋体" w:cs="宋体"/>
                <w:b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宋体" w:hAnsi="宋体" w:cs="宋体"/>
                <w:b/>
                <w:color w:val="auto"/>
                <w:kern w:val="0"/>
                <w:sz w:val="22"/>
                <w:highlight w:val="none"/>
                <w:shd w:val="clear" w:color="auto" w:fill="auto"/>
              </w:rPr>
              <w:t>25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宋体" w:hAnsi="宋体" w:cs="宋体"/>
                <w:color w:val="auto"/>
                <w:kern w:val="0"/>
                <w:sz w:val="22"/>
                <w:highlight w:val="none"/>
                <w:shd w:val="clear" w:color="auto" w:fill="auto"/>
              </w:rPr>
              <w:t>20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宋体" w:hAnsi="宋体" w:cs="宋体"/>
                <w:color w:val="auto"/>
                <w:kern w:val="0"/>
                <w:sz w:val="22"/>
                <w:highlight w:val="none"/>
                <w:shd w:val="clear" w:color="auto" w:fill="auto"/>
              </w:rPr>
              <w:t>50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宋体" w:hAnsi="宋体" w:cs="宋体"/>
                <w:color w:val="auto"/>
                <w:kern w:val="0"/>
                <w:sz w:val="22"/>
                <w:highlight w:val="none"/>
                <w:shd w:val="clear" w:color="auto" w:fill="auto"/>
              </w:rPr>
              <w:t>35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jc w:val="left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宋体" w:hAnsi="宋体" w:cs="宋体"/>
                <w:color w:val="auto"/>
                <w:kern w:val="0"/>
                <w:sz w:val="22"/>
                <w:highlight w:val="none"/>
                <w:shd w:val="clear" w:color="auto" w:fill="auto"/>
              </w:rPr>
              <w:t>D、社会实践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宋体" w:hAnsi="宋体" w:cs="宋体"/>
                <w:color w:val="auto"/>
                <w:kern w:val="0"/>
                <w:sz w:val="22"/>
                <w:highlight w:val="none"/>
                <w:shd w:val="clear" w:color="auto" w:fill="auto"/>
              </w:rPr>
              <w:t>15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宋体" w:hAnsi="宋体" w:cs="宋体"/>
                <w:color w:val="auto"/>
                <w:kern w:val="0"/>
                <w:sz w:val="22"/>
                <w:highlight w:val="none"/>
                <w:shd w:val="clear" w:color="auto" w:fill="auto"/>
              </w:rPr>
              <w:t>20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宋体" w:hAnsi="宋体" w:cs="宋体"/>
                <w:color w:val="auto"/>
                <w:kern w:val="0"/>
                <w:sz w:val="22"/>
                <w:highlight w:val="none"/>
                <w:shd w:val="clear" w:color="auto" w:fill="auto"/>
              </w:rPr>
              <w:t>15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宋体" w:hAnsi="宋体" w:cs="宋体"/>
                <w:color w:val="auto"/>
                <w:kern w:val="0"/>
                <w:sz w:val="22"/>
                <w:highlight w:val="none"/>
                <w:shd w:val="clear" w:color="auto" w:fill="auto"/>
              </w:rPr>
              <w:t>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3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宋体" w:hAnsi="宋体" w:cs="宋体"/>
                <w:color w:val="auto"/>
                <w:kern w:val="0"/>
                <w:sz w:val="22"/>
                <w:highlight w:val="none"/>
                <w:shd w:val="clear" w:color="auto" w:fill="auto"/>
              </w:rPr>
              <w:t>合计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宋体" w:hAnsi="宋体" w:cs="宋体"/>
                <w:color w:val="auto"/>
                <w:kern w:val="0"/>
                <w:sz w:val="22"/>
                <w:highlight w:val="none"/>
                <w:shd w:val="clear" w:color="auto" w:fill="auto"/>
              </w:rPr>
              <w:t>100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宋体" w:hAnsi="宋体" w:cs="宋体"/>
                <w:color w:val="auto"/>
                <w:kern w:val="0"/>
                <w:sz w:val="22"/>
                <w:highlight w:val="none"/>
                <w:shd w:val="clear" w:color="auto" w:fill="auto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宋体" w:hAnsi="宋体" w:cs="宋体"/>
                <w:color w:val="auto"/>
                <w:kern w:val="0"/>
                <w:sz w:val="22"/>
                <w:highlight w:val="none"/>
                <w:shd w:val="clear" w:color="auto" w:fill="auto"/>
              </w:rPr>
              <w:t>100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宋体" w:hAnsi="宋体" w:cs="宋体"/>
                <w:color w:val="auto"/>
                <w:kern w:val="0"/>
                <w:sz w:val="22"/>
                <w:highlight w:val="none"/>
                <w:shd w:val="clear" w:color="auto" w:fill="auto"/>
              </w:rPr>
              <w:t>100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360" w:lineRule="auto"/>
        <w:ind w:firstLine="660"/>
        <w:jc w:val="left"/>
        <w:textAlignment w:val="auto"/>
        <w:rPr>
          <w:rFonts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</w:rPr>
      </w:pPr>
      <w:r>
        <w:rPr>
          <w:rFonts w:hint="eastAsia" w:ascii="宋体" w:hAnsi="宋体" w:cs="宋体"/>
          <w:b/>
          <w:bCs/>
          <w:color w:val="auto"/>
          <w:kern w:val="0"/>
          <w:sz w:val="26"/>
          <w:szCs w:val="26"/>
          <w:highlight w:val="none"/>
          <w:shd w:val="clear" w:color="auto" w:fill="auto"/>
        </w:rPr>
        <w:t>第六条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</w:rPr>
        <w:t xml:space="preserve"> 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  <w:lang w:eastAsia="zh-Hans"/>
        </w:rPr>
        <w:t>研究生综合测评计分办法为：某名参评研究生综合测评总分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360" w:lineRule="auto"/>
        <w:jc w:val="left"/>
        <w:textAlignment w:val="auto"/>
        <w:rPr>
          <w:rFonts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</w:rPr>
      </w:pP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  <w:lang w:eastAsia="zh-Hans"/>
        </w:rPr>
        <w:t>T</w:t>
      </w:r>
      <w:r>
        <w:rPr>
          <w:rFonts w:hint="eastAsia" w:ascii="宋体" w:hAnsi="宋体" w:cs="宋体"/>
          <w:color w:val="auto"/>
          <w:kern w:val="0"/>
          <w:sz w:val="18"/>
          <w:szCs w:val="18"/>
          <w:highlight w:val="none"/>
          <w:shd w:val="clear" w:color="auto" w:fill="auto"/>
          <w:vertAlign w:val="subscript"/>
          <w:lang w:eastAsia="zh-Hans"/>
        </w:rPr>
        <w:t>总分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  <w:lang w:val="en-US" w:eastAsia="zh-CN"/>
        </w:rPr>
        <w:t>=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  <w:lang w:eastAsia="zh-Hans"/>
        </w:rPr>
        <w:t>A+B+C+D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  <w:lang w:eastAsia="zh-CN"/>
        </w:rPr>
        <w:t>（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  <w:lang w:eastAsia="zh-Hans"/>
        </w:rPr>
        <w:t>T</w:t>
      </w:r>
      <w:r>
        <w:rPr>
          <w:rFonts w:hint="eastAsia" w:ascii="宋体" w:hAnsi="宋体" w:cs="宋体"/>
          <w:color w:val="auto"/>
          <w:kern w:val="0"/>
          <w:sz w:val="18"/>
          <w:szCs w:val="18"/>
          <w:highlight w:val="none"/>
          <w:shd w:val="clear" w:color="auto" w:fill="auto"/>
          <w:vertAlign w:val="subscript"/>
          <w:lang w:eastAsia="zh-Hans"/>
        </w:rPr>
        <w:t>总分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  <w:lang w:eastAsia="zh-CN"/>
        </w:rPr>
        <w:t>四舍五入精确到小数点后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  <w:lang w:val="en-US" w:eastAsia="zh-CN"/>
        </w:rPr>
        <w:t>1位数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  <w:lang w:eastAsia="zh-CN"/>
        </w:rPr>
        <w:t>）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  <w:lang w:eastAsia="zh-Hans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360" w:lineRule="auto"/>
        <w:ind w:firstLine="660"/>
        <w:jc w:val="left"/>
        <w:textAlignment w:val="auto"/>
        <w:rPr>
          <w:rFonts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</w:rPr>
      </w:pPr>
      <w:r>
        <w:rPr>
          <w:rFonts w:hint="eastAsia" w:ascii="宋体" w:hAnsi="宋体" w:cs="宋体"/>
          <w:b/>
          <w:bCs/>
          <w:color w:val="auto"/>
          <w:kern w:val="0"/>
          <w:sz w:val="26"/>
          <w:szCs w:val="26"/>
          <w:highlight w:val="none"/>
          <w:shd w:val="clear" w:color="auto" w:fill="auto"/>
        </w:rPr>
        <w:t>第七条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</w:rPr>
        <w:t xml:space="preserve"> 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  <w:lang w:eastAsia="zh-Hans"/>
        </w:rPr>
        <w:t>研究生综合测评由各研究生培养学院组织，测评环节包括研究生自评、学院初评、公示和报学校研究生主管部门审定等。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360" w:lineRule="auto"/>
        <w:ind w:firstLine="660"/>
        <w:jc w:val="left"/>
        <w:textAlignment w:val="auto"/>
        <w:rPr>
          <w:rFonts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</w:rPr>
      </w:pPr>
      <w:r>
        <w:rPr>
          <w:rFonts w:hint="eastAsia" w:ascii="宋体" w:hAnsi="宋体" w:cs="宋体"/>
          <w:b/>
          <w:bCs/>
          <w:color w:val="auto"/>
          <w:kern w:val="0"/>
          <w:sz w:val="26"/>
          <w:szCs w:val="26"/>
          <w:highlight w:val="none"/>
          <w:shd w:val="clear" w:color="auto" w:fill="auto"/>
        </w:rPr>
        <w:t>第八条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</w:rPr>
        <w:t xml:space="preserve"> 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  <w:lang w:eastAsia="zh-Hans"/>
        </w:rPr>
        <w:t>研究生综合测评按层次（博士、硕士）和培养类型（学术型、专业学位型）分别排序。各学院也可结合实际按学科或其他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  <w:lang w:eastAsia="zh-CN"/>
        </w:rPr>
        <w:t>科学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  <w:lang w:eastAsia="zh-Hans"/>
        </w:rPr>
        <w:t>方式排序。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360" w:lineRule="auto"/>
        <w:ind w:firstLine="660"/>
        <w:jc w:val="left"/>
        <w:textAlignment w:val="auto"/>
        <w:rPr>
          <w:rFonts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</w:rPr>
      </w:pP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</w:rPr>
        <w:t>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360" w:lineRule="auto"/>
        <w:jc w:val="center"/>
        <w:textAlignment w:val="auto"/>
        <w:rPr>
          <w:rFonts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</w:rPr>
      </w:pPr>
      <w:r>
        <w:rPr>
          <w:rFonts w:hint="eastAsia" w:ascii="黑体" w:hAnsi="黑体" w:eastAsia="黑体" w:cs="宋体"/>
          <w:color w:val="auto"/>
          <w:kern w:val="0"/>
          <w:sz w:val="26"/>
          <w:szCs w:val="26"/>
          <w:highlight w:val="none"/>
          <w:shd w:val="clear" w:color="auto" w:fill="auto"/>
        </w:rPr>
        <w:t>第</w:t>
      </w:r>
      <w:r>
        <w:rPr>
          <w:rFonts w:hint="eastAsia" w:ascii="黑体" w:hAnsi="黑体" w:eastAsia="黑体" w:cs="宋体"/>
          <w:b/>
          <w:bCs/>
          <w:color w:val="auto"/>
          <w:kern w:val="0"/>
          <w:sz w:val="26"/>
          <w:szCs w:val="26"/>
          <w:highlight w:val="none"/>
          <w:shd w:val="clear" w:color="auto" w:fill="auto"/>
        </w:rPr>
        <w:t>三</w:t>
      </w:r>
      <w:r>
        <w:rPr>
          <w:rFonts w:hint="eastAsia" w:ascii="黑体" w:hAnsi="黑体" w:eastAsia="黑体" w:cs="宋体"/>
          <w:color w:val="auto"/>
          <w:kern w:val="0"/>
          <w:sz w:val="26"/>
          <w:szCs w:val="26"/>
          <w:highlight w:val="none"/>
          <w:shd w:val="clear" w:color="auto" w:fill="auto"/>
        </w:rPr>
        <w:t>章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</w:rPr>
        <w:t> </w:t>
      </w:r>
      <w:r>
        <w:rPr>
          <w:rFonts w:hint="eastAsia" w:ascii="黑体" w:hAnsi="黑体" w:eastAsia="黑体" w:cs="宋体"/>
          <w:color w:val="auto"/>
          <w:kern w:val="0"/>
          <w:sz w:val="26"/>
          <w:szCs w:val="26"/>
          <w:highlight w:val="none"/>
          <w:shd w:val="clear" w:color="auto" w:fill="auto"/>
        </w:rPr>
        <w:t xml:space="preserve"> </w:t>
      </w:r>
      <w:r>
        <w:rPr>
          <w:rFonts w:hint="eastAsia" w:ascii="黑体" w:hAnsi="黑体" w:eastAsia="黑体" w:cs="宋体"/>
          <w:color w:val="auto"/>
          <w:kern w:val="0"/>
          <w:sz w:val="26"/>
          <w:szCs w:val="26"/>
          <w:highlight w:val="none"/>
          <w:shd w:val="clear" w:color="auto" w:fill="auto"/>
          <w:lang w:eastAsia="zh-Hans"/>
        </w:rPr>
        <w:t>思想品德及日常表现评定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360" w:lineRule="auto"/>
        <w:ind w:firstLine="66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6"/>
          <w:szCs w:val="26"/>
          <w:highlight w:val="none"/>
          <w:shd w:val="clear" w:color="auto" w:fill="auto"/>
          <w:lang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26"/>
          <w:szCs w:val="26"/>
          <w:highlight w:val="none"/>
          <w:shd w:val="clear" w:color="auto" w:fill="auto"/>
        </w:rPr>
        <w:t>第九条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</w:rPr>
        <w:t xml:space="preserve"> </w:t>
      </w:r>
      <w:r>
        <w:rPr>
          <w:rFonts w:hint="eastAsia" w:ascii="宋体" w:hAnsi="宋体" w:cs="宋体"/>
          <w:color w:val="auto"/>
          <w:spacing w:val="-20"/>
          <w:kern w:val="0"/>
          <w:sz w:val="26"/>
          <w:szCs w:val="26"/>
          <w:highlight w:val="none"/>
          <w:shd w:val="clear" w:color="auto" w:fill="auto"/>
          <w:lang w:eastAsia="zh-Hans"/>
        </w:rPr>
        <w:t>思想品德及日常表现得分（A）由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  <w:shd w:val="clear" w:color="auto" w:fill="auto"/>
        </w:rPr>
        <w:t>“</w:t>
      </w:r>
      <w:r>
        <w:rPr>
          <w:rFonts w:hint="eastAsia" w:ascii="宋体" w:hAnsi="宋体" w:cs="宋体"/>
          <w:color w:val="auto"/>
          <w:spacing w:val="-20"/>
          <w:kern w:val="0"/>
          <w:sz w:val="26"/>
          <w:szCs w:val="26"/>
          <w:highlight w:val="none"/>
          <w:shd w:val="clear" w:color="auto" w:fill="auto"/>
          <w:lang w:eastAsia="zh-Hans"/>
        </w:rPr>
        <w:t>基本分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</w:rPr>
        <w:t>（A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  <w:vertAlign w:val="subscript"/>
        </w:rPr>
        <w:t>1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</w:rPr>
        <w:t>）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  <w:shd w:val="clear" w:color="auto" w:fill="auto"/>
        </w:rPr>
        <w:t>”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  <w:shd w:val="clear" w:color="auto" w:fill="auto"/>
          <w:lang w:eastAsia="zh-CN"/>
        </w:rPr>
        <w:t>、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  <w:shd w:val="clear" w:color="auto" w:fill="auto"/>
        </w:rPr>
        <w:t>“</w:t>
      </w:r>
      <w:r>
        <w:rPr>
          <w:rFonts w:hint="eastAsia" w:ascii="宋体" w:hAnsi="宋体" w:cs="宋体"/>
          <w:color w:val="auto"/>
          <w:spacing w:val="-20"/>
          <w:kern w:val="0"/>
          <w:sz w:val="26"/>
          <w:szCs w:val="26"/>
          <w:highlight w:val="none"/>
          <w:shd w:val="clear" w:color="auto" w:fill="auto"/>
          <w:lang w:eastAsia="zh-Hans"/>
        </w:rPr>
        <w:t>奖励分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</w:rPr>
        <w:t>（A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  <w:vertAlign w:val="subscript"/>
        </w:rPr>
        <w:t>2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</w:rPr>
        <w:t>）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  <w:shd w:val="clear" w:color="auto" w:fill="auto"/>
        </w:rPr>
        <w:t>”</w:t>
      </w:r>
      <w:r>
        <w:rPr>
          <w:rFonts w:hint="eastAsia" w:ascii="宋体" w:hAnsi="宋体" w:cs="宋体"/>
          <w:color w:val="auto"/>
          <w:spacing w:val="-20"/>
          <w:kern w:val="0"/>
          <w:sz w:val="26"/>
          <w:szCs w:val="26"/>
          <w:highlight w:val="none"/>
          <w:shd w:val="clear" w:color="auto" w:fill="auto"/>
          <w:lang w:eastAsia="zh-Hans"/>
        </w:rPr>
        <w:t>和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  <w:shd w:val="clear" w:color="auto" w:fill="auto"/>
        </w:rPr>
        <w:t>“</w:t>
      </w:r>
      <w:r>
        <w:rPr>
          <w:rFonts w:hint="eastAsia" w:ascii="宋体" w:hAnsi="宋体" w:cs="宋体"/>
          <w:color w:val="auto"/>
          <w:spacing w:val="-20"/>
          <w:kern w:val="0"/>
          <w:sz w:val="26"/>
          <w:szCs w:val="26"/>
          <w:highlight w:val="none"/>
          <w:shd w:val="clear" w:color="auto" w:fill="auto"/>
        </w:rPr>
        <w:t>扣减</w:t>
      </w:r>
      <w:r>
        <w:rPr>
          <w:rFonts w:hint="eastAsia" w:ascii="宋体" w:hAnsi="宋体" w:cs="宋体"/>
          <w:color w:val="auto"/>
          <w:spacing w:val="-20"/>
          <w:kern w:val="0"/>
          <w:sz w:val="26"/>
          <w:szCs w:val="26"/>
          <w:highlight w:val="none"/>
          <w:shd w:val="clear" w:color="auto" w:fill="auto"/>
          <w:lang w:eastAsia="zh-Hans"/>
        </w:rPr>
        <w:t>分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</w:rPr>
        <w:t>（A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  <w:vertAlign w:val="subscript"/>
        </w:rPr>
        <w:t>3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</w:rPr>
        <w:t>）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  <w:shd w:val="clear" w:color="auto" w:fill="auto"/>
        </w:rPr>
        <w:t>”</w:t>
      </w:r>
      <w:r>
        <w:rPr>
          <w:rFonts w:hint="eastAsia" w:ascii="宋体" w:hAnsi="宋体" w:cs="宋体"/>
          <w:color w:val="auto"/>
          <w:spacing w:val="-20"/>
          <w:kern w:val="0"/>
          <w:sz w:val="26"/>
          <w:szCs w:val="26"/>
          <w:highlight w:val="none"/>
          <w:shd w:val="clear" w:color="auto" w:fill="auto"/>
          <w:lang w:eastAsia="zh-Hans"/>
        </w:rPr>
        <w:t>三项构成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  <w:vertAlign w:val="subscript"/>
          <w:lang w:eastAsia="zh-Hans"/>
        </w:rPr>
        <w:t>，</w:t>
      </w:r>
      <w:r>
        <w:rPr>
          <w:rFonts w:hint="eastAsia" w:ascii="宋体" w:hAnsi="宋体" w:cs="宋体"/>
          <w:color w:val="auto"/>
          <w:spacing w:val="-20"/>
          <w:kern w:val="0"/>
          <w:sz w:val="26"/>
          <w:szCs w:val="26"/>
          <w:highlight w:val="none"/>
          <w:shd w:val="clear" w:color="auto" w:fill="auto"/>
          <w:lang w:eastAsia="zh-Hans"/>
        </w:rPr>
        <w:t>即</w:t>
      </w:r>
      <w:r>
        <w:rPr>
          <w:rFonts w:hint="eastAsia" w:ascii="宋体" w:hAnsi="宋体" w:cs="宋体"/>
          <w:color w:val="auto"/>
          <w:spacing w:val="-20"/>
          <w:kern w:val="0"/>
          <w:sz w:val="26"/>
          <w:szCs w:val="26"/>
          <w:highlight w:val="none"/>
          <w:shd w:val="clear" w:color="auto" w:fill="auto"/>
          <w:lang w:eastAsia="zh-CN"/>
        </w:rPr>
        <w:t>：</w:t>
      </w:r>
      <w:r>
        <w:rPr>
          <w:rFonts w:hint="eastAsia" w:ascii="宋体" w:hAnsi="宋体" w:cs="宋体"/>
          <w:color w:val="auto"/>
          <w:spacing w:val="-20"/>
          <w:kern w:val="0"/>
          <w:sz w:val="26"/>
          <w:szCs w:val="26"/>
          <w:highlight w:val="none"/>
          <w:shd w:val="clear" w:color="auto" w:fill="auto"/>
          <w:lang w:eastAsia="zh-Hans"/>
        </w:rPr>
        <w:t>A</w:t>
      </w:r>
      <w:r>
        <w:rPr>
          <w:rFonts w:hint="eastAsia" w:ascii="宋体" w:hAnsi="宋体" w:cs="宋体"/>
          <w:color w:val="auto"/>
          <w:kern w:val="0"/>
          <w:sz w:val="32"/>
          <w:szCs w:val="32"/>
          <w:highlight w:val="none"/>
          <w:shd w:val="clear" w:color="auto" w:fill="auto"/>
        </w:rPr>
        <w:t>﹦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</w:rPr>
        <w:t>A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  <w:vertAlign w:val="subscript"/>
        </w:rPr>
        <w:t>1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  <w:shd w:val="clear" w:color="auto" w:fill="auto"/>
        </w:rPr>
        <w:t>+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  <w:vertAlign w:val="subscript"/>
          <w:lang w:eastAsia="zh-Hans"/>
        </w:rPr>
        <w:t xml:space="preserve"> 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</w:rPr>
        <w:t>A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  <w:vertAlign w:val="subscript"/>
        </w:rPr>
        <w:t>2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  <w:shd w:val="clear" w:color="auto" w:fill="auto"/>
        </w:rPr>
        <w:t>+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</w:rPr>
        <w:t>A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  <w:vertAlign w:val="subscript"/>
        </w:rPr>
        <w:t>3，</w:t>
      </w:r>
      <w:r>
        <w:rPr>
          <w:rFonts w:hint="eastAsia" w:ascii="宋体" w:hAnsi="宋体" w:cs="宋体"/>
          <w:color w:val="auto"/>
          <w:spacing w:val="-20"/>
          <w:kern w:val="0"/>
          <w:sz w:val="26"/>
          <w:szCs w:val="26"/>
          <w:highlight w:val="none"/>
          <w:shd w:val="clear" w:color="auto" w:fill="auto"/>
        </w:rPr>
        <w:t>其中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</w:rPr>
        <w:t>A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  <w:vertAlign w:val="subscript"/>
        </w:rPr>
        <w:t>1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</w:rPr>
        <w:t>﹦60，A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  <w:vertAlign w:val="subscript"/>
        </w:rPr>
        <w:t>2</w:t>
      </w:r>
      <w:r>
        <w:rPr>
          <w:rFonts w:hint="eastAsia" w:ascii="宋体" w:hAnsi="宋体" w:cs="宋体"/>
          <w:color w:val="auto"/>
          <w:spacing w:val="-20"/>
          <w:kern w:val="0"/>
          <w:sz w:val="26"/>
          <w:szCs w:val="26"/>
          <w:highlight w:val="none"/>
          <w:shd w:val="clear" w:color="auto" w:fill="auto"/>
        </w:rPr>
        <w:t>&lt;=40</w:t>
      </w:r>
      <w:r>
        <w:rPr>
          <w:rFonts w:hint="eastAsia" w:ascii="宋体" w:hAnsi="宋体" w:cs="宋体"/>
          <w:color w:val="auto"/>
          <w:spacing w:val="-20"/>
          <w:kern w:val="0"/>
          <w:sz w:val="26"/>
          <w:szCs w:val="26"/>
          <w:highlight w:val="none"/>
          <w:shd w:val="clear" w:color="auto" w:fill="auto"/>
          <w:lang w:eastAsia="zh-CN"/>
        </w:rPr>
        <w:t>，</w:t>
      </w:r>
      <w:r>
        <w:rPr>
          <w:rFonts w:hint="eastAsia" w:ascii="宋体" w:hAnsi="宋体" w:cs="宋体"/>
          <w:color w:val="auto"/>
          <w:spacing w:val="-20"/>
          <w:kern w:val="0"/>
          <w:sz w:val="26"/>
          <w:szCs w:val="26"/>
          <w:highlight w:val="none"/>
          <w:shd w:val="clear" w:color="auto" w:fill="auto"/>
          <w:lang w:eastAsia="zh-Hans"/>
        </w:rPr>
        <w:t>本项最高得分为100分</w:t>
      </w:r>
      <w:r>
        <w:rPr>
          <w:rFonts w:hint="eastAsia" w:ascii="宋体" w:hAnsi="宋体" w:cs="宋体"/>
          <w:color w:val="auto"/>
          <w:spacing w:val="-20"/>
          <w:kern w:val="0"/>
          <w:sz w:val="26"/>
          <w:szCs w:val="26"/>
          <w:highlight w:val="none"/>
          <w:shd w:val="clear" w:color="auto" w:fill="auto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360" w:lineRule="auto"/>
        <w:ind w:firstLine="660"/>
        <w:jc w:val="left"/>
        <w:textAlignment w:val="auto"/>
        <w:rPr>
          <w:rFonts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</w:rPr>
      </w:pPr>
      <w:r>
        <w:rPr>
          <w:rFonts w:hint="eastAsia" w:ascii="宋体" w:hAnsi="宋体" w:cs="宋体"/>
          <w:b/>
          <w:bCs/>
          <w:color w:val="auto"/>
          <w:kern w:val="0"/>
          <w:sz w:val="26"/>
          <w:szCs w:val="26"/>
          <w:highlight w:val="none"/>
          <w:shd w:val="clear" w:color="auto" w:fill="auto"/>
        </w:rPr>
        <w:t>第十条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</w:rPr>
        <w:t xml:space="preserve"> </w:t>
      </w:r>
      <w:r>
        <w:rPr>
          <w:rFonts w:hint="eastAsia" w:ascii="宋体" w:hAnsi="宋体" w:cs="宋体"/>
          <w:color w:val="auto"/>
          <w:spacing w:val="20"/>
          <w:kern w:val="0"/>
          <w:sz w:val="26"/>
          <w:szCs w:val="26"/>
          <w:highlight w:val="none"/>
          <w:shd w:val="clear" w:color="auto" w:fill="auto"/>
          <w:lang w:eastAsia="zh-Hans"/>
        </w:rPr>
        <w:t>基本分A</w:t>
      </w:r>
      <w:r>
        <w:rPr>
          <w:rFonts w:hint="eastAsia" w:ascii="宋体" w:hAnsi="宋体" w:cs="宋体"/>
          <w:color w:val="auto"/>
          <w:spacing w:val="20"/>
          <w:kern w:val="0"/>
          <w:sz w:val="26"/>
          <w:szCs w:val="26"/>
          <w:highlight w:val="none"/>
          <w:shd w:val="clear" w:color="auto" w:fill="auto"/>
          <w:vertAlign w:val="subscript"/>
          <w:lang w:eastAsia="zh-Hans"/>
        </w:rPr>
        <w:t>1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</w:rPr>
        <w:t>的计算依据为：坚持四项基本原则，坚持社会主义核心价值观，遵守法律和学校规章制度，自觉遵守公民基本道德规范和高等学校学生行为准则；积极参加学校（研究生院）、学院、校团学组织、班委等组织的各项活动；党团员应积极参加党、团组织生活，缴交党、团费。可获得基本分A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  <w:vertAlign w:val="subscript"/>
        </w:rPr>
        <w:t>1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</w:rPr>
        <w:t>﹦60。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360" w:lineRule="auto"/>
        <w:ind w:firstLine="660"/>
        <w:jc w:val="left"/>
        <w:textAlignment w:val="auto"/>
        <w:rPr>
          <w:rFonts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</w:rPr>
      </w:pPr>
      <w:r>
        <w:rPr>
          <w:rFonts w:hint="eastAsia" w:ascii="宋体" w:hAnsi="宋体" w:cs="宋体"/>
          <w:b/>
          <w:bCs/>
          <w:color w:val="auto"/>
          <w:kern w:val="0"/>
          <w:sz w:val="26"/>
          <w:szCs w:val="26"/>
          <w:highlight w:val="none"/>
          <w:shd w:val="clear" w:color="auto" w:fill="auto"/>
        </w:rPr>
        <w:t>第</w:t>
      </w:r>
      <w:r>
        <w:rPr>
          <w:rFonts w:hint="eastAsia" w:ascii="宋体" w:hAnsi="宋体" w:cs="宋体"/>
          <w:b/>
          <w:bCs/>
          <w:color w:val="auto"/>
          <w:spacing w:val="-20"/>
          <w:kern w:val="0"/>
          <w:sz w:val="26"/>
          <w:szCs w:val="26"/>
          <w:highlight w:val="none"/>
          <w:shd w:val="clear" w:color="auto" w:fill="auto"/>
        </w:rPr>
        <w:t>十一条</w:t>
      </w:r>
      <w:r>
        <w:rPr>
          <w:rFonts w:hint="eastAsia" w:ascii="宋体" w:hAnsi="宋体" w:cs="宋体"/>
          <w:color w:val="auto"/>
          <w:spacing w:val="-20"/>
          <w:kern w:val="0"/>
          <w:sz w:val="26"/>
          <w:szCs w:val="26"/>
          <w:highlight w:val="none"/>
          <w:shd w:val="clear" w:color="auto" w:fill="auto"/>
        </w:rPr>
        <w:t xml:space="preserve"> 奖励分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</w:rPr>
        <w:t>A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  <w:vertAlign w:val="subscript"/>
        </w:rPr>
        <w:t>2</w:t>
      </w:r>
      <w:r>
        <w:rPr>
          <w:rFonts w:hint="eastAsia" w:ascii="宋体" w:hAnsi="宋体" w:cs="宋体"/>
          <w:color w:val="auto"/>
          <w:spacing w:val="-20"/>
          <w:kern w:val="0"/>
          <w:sz w:val="26"/>
          <w:szCs w:val="26"/>
          <w:highlight w:val="none"/>
          <w:shd w:val="clear" w:color="auto" w:fill="auto"/>
        </w:rPr>
        <w:t>的计算依据为：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360" w:lineRule="auto"/>
        <w:ind w:firstLine="660"/>
        <w:jc w:val="left"/>
        <w:textAlignment w:val="auto"/>
        <w:rPr>
          <w:rFonts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</w:rPr>
      </w:pPr>
      <w:r>
        <w:rPr>
          <w:rFonts w:hint="eastAsia" w:ascii="宋体" w:hAnsi="宋体" w:cs="宋体"/>
          <w:color w:val="auto"/>
          <w:spacing w:val="-20"/>
          <w:kern w:val="0"/>
          <w:sz w:val="26"/>
          <w:szCs w:val="26"/>
          <w:highlight w:val="none"/>
          <w:shd w:val="clear" w:color="auto" w:fill="auto"/>
        </w:rPr>
        <w:t>1.助人为乐项：具有高尚的道德情操、见义勇为、敢于与坏人坏事作斗争、助人为乐、集体主义精神等方面表现突出，获得省厅、市、校、学院嘉奖（或认定）的，分别获得奖励分为15、10、6、3。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360" w:lineRule="auto"/>
        <w:ind w:firstLine="660"/>
        <w:jc w:val="left"/>
        <w:textAlignment w:val="auto"/>
        <w:rPr>
          <w:rFonts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</w:rPr>
      </w:pPr>
      <w:r>
        <w:rPr>
          <w:rFonts w:hint="eastAsia" w:ascii="宋体" w:hAnsi="宋体" w:cs="宋体"/>
          <w:color w:val="auto"/>
          <w:spacing w:val="-20"/>
          <w:kern w:val="0"/>
          <w:sz w:val="26"/>
          <w:szCs w:val="26"/>
          <w:highlight w:val="none"/>
          <w:shd w:val="clear" w:color="auto" w:fill="auto"/>
        </w:rPr>
        <w:t>2.个人荣誉项：获得省、市、校级优秀研究生或者优秀研究生干部荣誉称号的，每项奖励15、10、6分；获得省、市、校级优秀党员（干）、优秀团员（干）、积极分子或先进个人等个人荣誉称号的，每项奖励15、10、6分。同一性质的奖励分只计算一次</w:t>
      </w:r>
      <w:r>
        <w:rPr>
          <w:rFonts w:hint="eastAsia" w:ascii="宋体" w:hAnsi="宋体" w:cs="宋体"/>
          <w:color w:val="auto"/>
          <w:spacing w:val="-20"/>
          <w:kern w:val="0"/>
          <w:sz w:val="26"/>
          <w:szCs w:val="26"/>
          <w:highlight w:val="none"/>
          <w:shd w:val="clear" w:color="auto" w:fill="auto"/>
          <w:lang w:eastAsia="zh-CN"/>
        </w:rPr>
        <w:t>最高分</w:t>
      </w:r>
      <w:r>
        <w:rPr>
          <w:rFonts w:hint="eastAsia" w:ascii="宋体" w:hAnsi="宋体" w:cs="宋体"/>
          <w:color w:val="auto"/>
          <w:spacing w:val="-20"/>
          <w:kern w:val="0"/>
          <w:sz w:val="26"/>
          <w:szCs w:val="26"/>
          <w:highlight w:val="none"/>
          <w:shd w:val="clear" w:color="auto" w:fill="auto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360" w:lineRule="auto"/>
        <w:ind w:firstLine="660"/>
        <w:jc w:val="left"/>
        <w:textAlignment w:val="auto"/>
        <w:rPr>
          <w:rFonts w:hint="eastAsia" w:ascii="宋体" w:hAnsi="宋体" w:cs="宋体"/>
          <w:color w:val="auto"/>
          <w:spacing w:val="-20"/>
          <w:kern w:val="0"/>
          <w:sz w:val="26"/>
          <w:szCs w:val="26"/>
          <w:highlight w:val="none"/>
          <w:shd w:val="clear" w:color="auto" w:fill="auto"/>
        </w:rPr>
      </w:pPr>
      <w:r>
        <w:rPr>
          <w:rFonts w:hint="eastAsia" w:ascii="宋体" w:hAnsi="宋体" w:cs="宋体"/>
          <w:color w:val="auto"/>
          <w:spacing w:val="-20"/>
          <w:kern w:val="0"/>
          <w:sz w:val="26"/>
          <w:szCs w:val="26"/>
          <w:highlight w:val="none"/>
          <w:shd w:val="clear" w:color="auto" w:fill="auto"/>
        </w:rPr>
        <w:t>3.出席学校（研究生院）、学院、班委（团支部）等组织的会议、讲座、集体活动、义务劳动等集体会议或活动的，每学时（次）可获加分依次为2、1.5、1分。获加分项目根据当时出席会议（活动）签到（或备案）的数据为准，过后不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360" w:lineRule="auto"/>
        <w:ind w:firstLine="660"/>
        <w:jc w:val="left"/>
        <w:textAlignment w:val="auto"/>
        <w:rPr>
          <w:rFonts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</w:rPr>
      </w:pPr>
      <w:r>
        <w:rPr>
          <w:rFonts w:hint="eastAsia" w:ascii="宋体" w:hAnsi="宋体" w:cs="宋体"/>
          <w:b/>
          <w:bCs/>
          <w:color w:val="auto"/>
          <w:spacing w:val="-20"/>
          <w:kern w:val="0"/>
          <w:sz w:val="26"/>
          <w:szCs w:val="26"/>
          <w:highlight w:val="none"/>
          <w:shd w:val="clear" w:color="auto" w:fill="auto"/>
        </w:rPr>
        <w:t>第十二条</w:t>
      </w:r>
      <w:r>
        <w:rPr>
          <w:rFonts w:hint="eastAsia" w:ascii="宋体" w:hAnsi="宋体" w:cs="宋体"/>
          <w:color w:val="auto"/>
          <w:spacing w:val="-20"/>
          <w:kern w:val="0"/>
          <w:sz w:val="26"/>
          <w:szCs w:val="26"/>
          <w:highlight w:val="none"/>
          <w:shd w:val="clear" w:color="auto" w:fill="auto"/>
        </w:rPr>
        <w:t xml:space="preserve"> 扣减分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</w:rPr>
        <w:t>A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  <w:vertAlign w:val="subscript"/>
        </w:rPr>
        <w:t>3</w:t>
      </w:r>
      <w:r>
        <w:rPr>
          <w:rFonts w:hint="eastAsia" w:ascii="宋体" w:hAnsi="宋体" w:cs="宋体"/>
          <w:color w:val="auto"/>
          <w:spacing w:val="-20"/>
          <w:kern w:val="0"/>
          <w:sz w:val="26"/>
          <w:szCs w:val="26"/>
          <w:highlight w:val="none"/>
          <w:shd w:val="clear" w:color="auto" w:fill="auto"/>
        </w:rPr>
        <w:t>的计算依据为：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360" w:lineRule="auto"/>
        <w:ind w:firstLine="660"/>
        <w:jc w:val="left"/>
        <w:textAlignment w:val="auto"/>
        <w:rPr>
          <w:rFonts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</w:rPr>
      </w:pPr>
      <w:r>
        <w:rPr>
          <w:rFonts w:hint="eastAsia" w:ascii="宋体" w:hAnsi="宋体" w:cs="宋体"/>
          <w:color w:val="auto"/>
          <w:spacing w:val="-20"/>
          <w:kern w:val="0"/>
          <w:sz w:val="26"/>
          <w:szCs w:val="26"/>
          <w:highlight w:val="none"/>
          <w:shd w:val="clear" w:color="auto" w:fill="auto"/>
        </w:rPr>
        <w:t>1.违反社会秩序、公民道德规范、校纪校规、党团或社团纪律者，情节较轻，不足以作通报批评的，或者不服从学校、学院、导师工作安排的，每项（次）酌情扣5分；受学校（研究生院）、学院通报批评者，每次分别扣10、5分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360" w:lineRule="auto"/>
        <w:ind w:firstLine="660"/>
        <w:jc w:val="left"/>
        <w:textAlignment w:val="auto"/>
        <w:rPr>
          <w:rFonts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</w:rPr>
      </w:pPr>
      <w:r>
        <w:rPr>
          <w:rFonts w:hint="eastAsia" w:ascii="宋体" w:hAnsi="宋体" w:cs="宋体"/>
          <w:color w:val="auto"/>
          <w:spacing w:val="-20"/>
          <w:kern w:val="0"/>
          <w:sz w:val="26"/>
          <w:szCs w:val="26"/>
          <w:highlight w:val="none"/>
          <w:shd w:val="clear" w:color="auto" w:fill="auto"/>
        </w:rPr>
        <w:t>2.未办理请假手续擅自离校、离岗（含期末提前离校、开学初没按时返校报到注册）者，时间在7天、4-6天、2-3天的，每次分别扣10、7、5分。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360" w:lineRule="auto"/>
        <w:ind w:firstLine="660"/>
        <w:jc w:val="left"/>
        <w:textAlignment w:val="auto"/>
        <w:rPr>
          <w:rFonts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</w:rPr>
      </w:pPr>
      <w:r>
        <w:rPr>
          <w:rFonts w:hint="eastAsia" w:ascii="宋体" w:hAnsi="宋体" w:cs="宋体"/>
          <w:color w:val="auto"/>
          <w:spacing w:val="-20"/>
          <w:kern w:val="0"/>
          <w:sz w:val="26"/>
          <w:szCs w:val="26"/>
          <w:highlight w:val="none"/>
          <w:shd w:val="clear" w:color="auto" w:fill="auto"/>
        </w:rPr>
        <w:t>3.缺席学校（研究生院）、学院、班委（党、团支部）等组织的政治学习、纪律教育、学术论坛、组织生活等重要会议或活动的，每学时（次）扣分依次为2、1.5、1分。迟到或早退2次折算为缺席1次。扣减分依据当时出席会议（活动）签到（或备案）的数据为准，过后不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360" w:lineRule="auto"/>
        <w:ind w:firstLine="660"/>
        <w:jc w:val="left"/>
        <w:textAlignment w:val="auto"/>
        <w:rPr>
          <w:rFonts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  <w:vertAlign w:val="subscript"/>
          <w:lang w:eastAsia="zh-Hans"/>
        </w:rPr>
      </w:pP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  <w:vertAlign w:val="subscript"/>
          <w:lang w:eastAsia="zh-Hans"/>
        </w:rPr>
        <w:t>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360" w:lineRule="auto"/>
        <w:jc w:val="center"/>
        <w:textAlignment w:val="auto"/>
        <w:rPr>
          <w:rFonts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</w:rPr>
      </w:pPr>
      <w:r>
        <w:rPr>
          <w:rFonts w:hint="eastAsia" w:ascii="黑体" w:hAnsi="黑体" w:eastAsia="黑体" w:cs="宋体"/>
          <w:color w:val="auto"/>
          <w:kern w:val="0"/>
          <w:sz w:val="26"/>
          <w:szCs w:val="26"/>
          <w:highlight w:val="none"/>
          <w:shd w:val="clear" w:color="auto" w:fill="auto"/>
        </w:rPr>
        <w:t>第四章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</w:rPr>
        <w:t> </w:t>
      </w:r>
      <w:r>
        <w:rPr>
          <w:rFonts w:hint="eastAsia" w:ascii="黑体" w:hAnsi="黑体" w:eastAsia="黑体" w:cs="宋体"/>
          <w:color w:val="auto"/>
          <w:kern w:val="0"/>
          <w:sz w:val="26"/>
          <w:szCs w:val="26"/>
          <w:highlight w:val="none"/>
          <w:shd w:val="clear" w:color="auto" w:fill="auto"/>
        </w:rPr>
        <w:t xml:space="preserve"> 课程学习评定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360" w:lineRule="auto"/>
        <w:ind w:firstLine="660"/>
        <w:jc w:val="left"/>
        <w:textAlignment w:val="auto"/>
        <w:rPr>
          <w:rFonts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</w:rPr>
      </w:pPr>
      <w:r>
        <w:rPr>
          <w:rFonts w:hint="eastAsia" w:ascii="宋体" w:hAnsi="宋体" w:cs="宋体"/>
          <w:b/>
          <w:bCs/>
          <w:color w:val="auto"/>
          <w:kern w:val="0"/>
          <w:sz w:val="26"/>
          <w:szCs w:val="26"/>
          <w:highlight w:val="none"/>
          <w:shd w:val="clear" w:color="auto" w:fill="auto"/>
        </w:rPr>
        <w:t>第十三条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</w:rPr>
        <w:t xml:space="preserve"> 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  <w:lang w:eastAsia="zh-Hans"/>
        </w:rPr>
        <w:t>按照个人培养计划规定的课程，总成绩（B）﹦学位课程加权平均成绩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</w:rPr>
        <w:t>（B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  <w:vertAlign w:val="subscript"/>
        </w:rPr>
        <w:t>1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</w:rPr>
        <w:t>）×60%+非学位课程加权平均成绩（B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  <w:vertAlign w:val="subscript"/>
        </w:rPr>
        <w:t>2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</w:rPr>
        <w:t>）×40%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  <w:vertAlign w:val="subscript"/>
          <w:lang w:eastAsia="zh-Hans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360" w:lineRule="auto"/>
        <w:ind w:firstLine="660"/>
        <w:jc w:val="left"/>
        <w:textAlignment w:val="auto"/>
        <w:rPr>
          <w:rFonts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</w:rPr>
      </w:pP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</w:rPr>
        <w:t>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360" w:lineRule="auto"/>
        <w:jc w:val="center"/>
        <w:textAlignment w:val="auto"/>
        <w:rPr>
          <w:rFonts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</w:rPr>
      </w:pPr>
      <w:r>
        <w:rPr>
          <w:rFonts w:hint="eastAsia" w:ascii="黑体" w:hAnsi="黑体" w:eastAsia="黑体" w:cs="宋体"/>
          <w:color w:val="auto"/>
          <w:kern w:val="0"/>
          <w:sz w:val="26"/>
          <w:szCs w:val="26"/>
          <w:highlight w:val="none"/>
          <w:shd w:val="clear" w:color="auto" w:fill="auto"/>
        </w:rPr>
        <w:t>第五章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</w:rPr>
        <w:t> </w:t>
      </w:r>
      <w:r>
        <w:rPr>
          <w:rFonts w:hint="eastAsia" w:ascii="黑体" w:hAnsi="黑体" w:eastAsia="黑体" w:cs="宋体"/>
          <w:color w:val="auto"/>
          <w:kern w:val="0"/>
          <w:sz w:val="26"/>
          <w:szCs w:val="26"/>
          <w:highlight w:val="none"/>
          <w:shd w:val="clear" w:color="auto" w:fill="auto"/>
        </w:rPr>
        <w:t xml:space="preserve"> </w:t>
      </w:r>
      <w:r>
        <w:rPr>
          <w:rFonts w:hint="eastAsia" w:ascii="黑体" w:hAnsi="黑体" w:eastAsia="黑体" w:cs="宋体"/>
          <w:color w:val="auto"/>
          <w:kern w:val="0"/>
          <w:sz w:val="26"/>
          <w:szCs w:val="26"/>
          <w:highlight w:val="none"/>
          <w:shd w:val="clear" w:color="auto" w:fill="auto"/>
          <w:lang w:eastAsia="zh-Hans"/>
        </w:rPr>
        <w:t>科学研究评定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360" w:lineRule="auto"/>
        <w:ind w:firstLine="660"/>
        <w:jc w:val="left"/>
        <w:textAlignment w:val="auto"/>
        <w:rPr>
          <w:rFonts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</w:rPr>
      </w:pPr>
      <w:r>
        <w:rPr>
          <w:rFonts w:hint="eastAsia" w:ascii="宋体" w:hAnsi="宋体" w:cs="宋体"/>
          <w:b/>
          <w:bCs/>
          <w:color w:val="auto"/>
          <w:kern w:val="0"/>
          <w:sz w:val="26"/>
          <w:szCs w:val="26"/>
          <w:highlight w:val="none"/>
          <w:shd w:val="clear" w:color="auto" w:fill="auto"/>
        </w:rPr>
        <w:t>第十四条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</w:rPr>
        <w:t xml:space="preserve"> 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  <w:lang w:eastAsia="zh-Hans"/>
        </w:rPr>
        <w:t>科学研究得分（C）由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  <w:shd w:val="clear" w:color="auto" w:fill="auto"/>
        </w:rPr>
        <w:t>“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  <w:lang w:eastAsia="zh-Hans"/>
        </w:rPr>
        <w:t>基本分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</w:rPr>
        <w:t>（C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  <w:vertAlign w:val="subscript"/>
        </w:rPr>
        <w:t>1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</w:rPr>
        <w:t>）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  <w:shd w:val="clear" w:color="auto" w:fill="auto"/>
        </w:rPr>
        <w:t>”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  <w:shd w:val="clear" w:color="auto" w:fill="auto"/>
          <w:lang w:eastAsia="zh-CN"/>
        </w:rPr>
        <w:t>、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  <w:shd w:val="clear" w:color="auto" w:fill="auto"/>
        </w:rPr>
        <w:t>“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</w:rPr>
        <w:t>奖励分（C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  <w:vertAlign w:val="subscript"/>
        </w:rPr>
        <w:t>2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</w:rPr>
        <w:t>）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  <w:shd w:val="clear" w:color="auto" w:fill="auto"/>
        </w:rPr>
        <w:t>”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</w:rPr>
        <w:t>构成，即：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  <w:lang w:eastAsia="zh-Hans"/>
        </w:rPr>
        <w:t>C</w:t>
      </w:r>
      <w:r>
        <w:rPr>
          <w:rFonts w:hint="eastAsia" w:ascii="宋体" w:hAnsi="宋体" w:cs="宋体"/>
          <w:color w:val="auto"/>
          <w:kern w:val="0"/>
          <w:sz w:val="32"/>
          <w:szCs w:val="32"/>
          <w:highlight w:val="none"/>
          <w:shd w:val="clear" w:color="auto" w:fill="auto"/>
        </w:rPr>
        <w:t>﹦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</w:rPr>
        <w:t>C</w:t>
      </w:r>
      <w:r>
        <w:rPr>
          <w:rFonts w:hint="eastAsia" w:ascii="宋体" w:hAnsi="宋体" w:cs="宋体"/>
          <w:color w:val="auto"/>
          <w:kern w:val="0"/>
          <w:sz w:val="18"/>
          <w:szCs w:val="18"/>
          <w:highlight w:val="none"/>
          <w:shd w:val="clear" w:color="auto" w:fill="auto"/>
          <w:vertAlign w:val="subscript"/>
        </w:rPr>
        <w:t>1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  <w:shd w:val="clear" w:color="auto" w:fill="auto"/>
        </w:rPr>
        <w:t>+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</w:rPr>
        <w:t>C</w:t>
      </w:r>
      <w:r>
        <w:rPr>
          <w:rFonts w:hint="eastAsia" w:ascii="宋体" w:hAnsi="宋体" w:cs="宋体"/>
          <w:color w:val="auto"/>
          <w:kern w:val="0"/>
          <w:sz w:val="18"/>
          <w:szCs w:val="18"/>
          <w:highlight w:val="none"/>
          <w:shd w:val="clear" w:color="auto" w:fill="auto"/>
          <w:vertAlign w:val="subscript"/>
        </w:rPr>
        <w:t>2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  <w:vertAlign w:val="subscript"/>
          <w:lang w:eastAsia="zh-Hans"/>
        </w:rPr>
        <w:t xml:space="preserve"> 。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</w:rPr>
        <w:t>其中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  <w:lang w:eastAsia="zh-Hans"/>
        </w:rPr>
        <w:t>C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  <w:vertAlign w:val="subscript"/>
        </w:rPr>
        <w:t>1</w:t>
      </w:r>
      <w:r>
        <w:rPr>
          <w:rFonts w:hint="eastAsia" w:ascii="宋体" w:hAnsi="宋体" w:cs="宋体"/>
          <w:color w:val="auto"/>
          <w:kern w:val="0"/>
          <w:sz w:val="32"/>
          <w:szCs w:val="32"/>
          <w:highlight w:val="none"/>
          <w:shd w:val="clear" w:color="auto" w:fill="auto"/>
        </w:rPr>
        <w:t>﹦4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</w:rPr>
        <w:t>0</w:t>
      </w:r>
      <w:r>
        <w:rPr>
          <w:rFonts w:hint="eastAsia" w:ascii="宋体" w:hAnsi="宋体" w:cs="宋体"/>
          <w:color w:val="auto"/>
          <w:spacing w:val="-20"/>
          <w:kern w:val="0"/>
          <w:sz w:val="26"/>
          <w:szCs w:val="26"/>
          <w:highlight w:val="none"/>
          <w:shd w:val="clear" w:color="auto" w:fill="auto"/>
        </w:rPr>
        <w:t>，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</w:rPr>
        <w:t>C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  <w:vertAlign w:val="subscript"/>
        </w:rPr>
        <w:t>2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</w:rPr>
        <w:t>≤60,本项最高得分为100分。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360" w:lineRule="auto"/>
        <w:ind w:firstLine="660"/>
        <w:jc w:val="left"/>
        <w:textAlignment w:val="auto"/>
        <w:rPr>
          <w:rFonts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</w:rPr>
      </w:pPr>
      <w:r>
        <w:rPr>
          <w:rFonts w:hint="eastAsia" w:ascii="宋体" w:hAnsi="宋体" w:cs="宋体"/>
          <w:b/>
          <w:bCs/>
          <w:color w:val="auto"/>
          <w:kern w:val="0"/>
          <w:sz w:val="26"/>
          <w:szCs w:val="26"/>
          <w:highlight w:val="none"/>
          <w:shd w:val="clear" w:color="auto" w:fill="auto"/>
        </w:rPr>
        <w:t>第十五条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</w:rPr>
        <w:t xml:space="preserve"> 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  <w:lang w:eastAsia="zh-Hans"/>
        </w:rPr>
        <w:t>基本分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</w:rPr>
        <w:t>C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  <w:vertAlign w:val="subscript"/>
        </w:rPr>
        <w:t>1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  <w:lang w:eastAsia="zh-Hans"/>
        </w:rPr>
        <w:t>的计算依据为：研究生按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</w:rPr>
        <w:t>培养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  <w:lang w:eastAsia="zh-Hans"/>
        </w:rPr>
        <w:t>计划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</w:rPr>
        <w:t>从事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  <w:lang w:eastAsia="zh-Hans"/>
        </w:rPr>
        <w:t>科学研究，开展课题调研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</w:rPr>
        <w:t>、文献写作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  <w:lang w:eastAsia="zh-Hans"/>
        </w:rPr>
        <w:t>和学位论文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</w:rPr>
        <w:t>研究工作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  <w:lang w:eastAsia="zh-Hans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360" w:lineRule="auto"/>
        <w:ind w:firstLine="660"/>
        <w:jc w:val="left"/>
        <w:textAlignment w:val="auto"/>
        <w:rPr>
          <w:rFonts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  <w:lang w:eastAsia="zh-Hans"/>
        </w:rPr>
      </w:pPr>
      <w:r>
        <w:rPr>
          <w:rFonts w:hint="eastAsia" w:ascii="宋体" w:hAnsi="宋体" w:cs="宋体"/>
          <w:b/>
          <w:bCs/>
          <w:color w:val="auto"/>
          <w:kern w:val="0"/>
          <w:sz w:val="26"/>
          <w:szCs w:val="26"/>
          <w:highlight w:val="none"/>
          <w:shd w:val="clear" w:color="auto" w:fill="auto"/>
          <w:lang w:eastAsia="zh-Hans"/>
        </w:rPr>
        <w:t>第十</w:t>
      </w:r>
      <w:r>
        <w:rPr>
          <w:rFonts w:hint="eastAsia" w:ascii="宋体" w:hAnsi="宋体" w:cs="宋体"/>
          <w:b/>
          <w:bCs/>
          <w:color w:val="auto"/>
          <w:kern w:val="0"/>
          <w:sz w:val="26"/>
          <w:szCs w:val="26"/>
          <w:highlight w:val="none"/>
          <w:shd w:val="clear" w:color="auto" w:fill="auto"/>
        </w:rPr>
        <w:t>六</w:t>
      </w:r>
      <w:r>
        <w:rPr>
          <w:rFonts w:hint="eastAsia" w:ascii="宋体" w:hAnsi="宋体" w:cs="宋体"/>
          <w:b/>
          <w:bCs/>
          <w:color w:val="auto"/>
          <w:kern w:val="0"/>
          <w:sz w:val="26"/>
          <w:szCs w:val="26"/>
          <w:highlight w:val="none"/>
          <w:shd w:val="clear" w:color="auto" w:fill="auto"/>
          <w:lang w:eastAsia="zh-Hans"/>
        </w:rPr>
        <w:t xml:space="preserve">条 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  <w:lang w:eastAsia="zh-Hans"/>
        </w:rPr>
        <w:t>奖励分C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  <w:vertAlign w:val="subscript"/>
          <w:lang w:eastAsia="zh-Hans"/>
        </w:rPr>
        <w:t>2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  <w:lang w:eastAsia="zh-Hans"/>
        </w:rPr>
        <w:t>的计分项目应与本人就读的学科、专业相关，凡不相关项目，一律不计奖励分。同一项业绩（含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</w:rPr>
        <w:t>发表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  <w:lang w:eastAsia="zh-Hans"/>
        </w:rPr>
        <w:t>论文、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</w:rPr>
        <w:t>学术交流、科研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  <w:lang w:eastAsia="zh-Hans"/>
        </w:rPr>
        <w:t>成果、专利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</w:rPr>
        <w:t>成果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  <w:lang w:eastAsia="zh-Hans"/>
        </w:rPr>
        <w:t>等）获得的奖励分只计算一次（项）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  <w:lang w:eastAsia="zh-CN"/>
        </w:rPr>
        <w:t>最高分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  <w:lang w:eastAsia="zh-Hans"/>
        </w:rPr>
        <w:t>。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</w:rPr>
        <w:t>对学术成果论文与学科、专业相关性如有争议的，由研究生院委托相关学科教师作评判。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360" w:lineRule="auto"/>
        <w:ind w:firstLine="660"/>
        <w:jc w:val="left"/>
        <w:textAlignment w:val="auto"/>
        <w:rPr>
          <w:rFonts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</w:rPr>
      </w:pPr>
      <w:r>
        <w:rPr>
          <w:rFonts w:hint="eastAsia" w:ascii="宋体" w:hAnsi="宋体" w:cs="宋体"/>
          <w:b/>
          <w:bCs/>
          <w:color w:val="auto"/>
          <w:kern w:val="0"/>
          <w:sz w:val="26"/>
          <w:szCs w:val="26"/>
          <w:highlight w:val="none"/>
          <w:shd w:val="clear" w:color="auto" w:fill="auto"/>
        </w:rPr>
        <w:t>第十七条</w:t>
      </w:r>
      <w:r>
        <w:rPr>
          <w:rFonts w:hint="eastAsia" w:ascii="宋体" w:hAnsi="宋体" w:cs="宋体"/>
          <w:b/>
          <w:bCs/>
          <w:color w:val="auto"/>
          <w:kern w:val="0"/>
          <w:sz w:val="26"/>
          <w:szCs w:val="26"/>
          <w:highlight w:val="none"/>
          <w:shd w:val="clear" w:color="auto" w:fill="auto"/>
          <w:vertAlign w:val="subscript"/>
        </w:rPr>
        <w:t xml:space="preserve"> 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</w:rPr>
        <w:t>奖励分C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  <w:vertAlign w:val="subscript"/>
        </w:rPr>
        <w:t>2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  <w:lang w:eastAsia="zh-Hans"/>
        </w:rPr>
        <w:t>的计算依据为：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360" w:lineRule="auto"/>
        <w:ind w:firstLine="660"/>
        <w:jc w:val="left"/>
        <w:textAlignment w:val="auto"/>
        <w:rPr>
          <w:rFonts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  <w:lang w:eastAsia="zh-Hans"/>
        </w:rPr>
      </w:pP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  <w:lang w:eastAsia="zh-Hans"/>
        </w:rPr>
        <w:t>1.发表论文项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360" w:lineRule="auto"/>
        <w:ind w:firstLine="660"/>
        <w:jc w:val="left"/>
        <w:textAlignment w:val="auto"/>
        <w:rPr>
          <w:rFonts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</w:rPr>
      </w:pP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</w:rPr>
        <w:t>（1）自然科学类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360" w:lineRule="auto"/>
        <w:ind w:firstLine="660"/>
        <w:jc w:val="left"/>
        <w:textAlignment w:val="auto"/>
        <w:rPr>
          <w:rFonts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</w:rPr>
      </w:pP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</w:rPr>
        <w:t>研究生在读期间以本人为第一作者、学校为第一完成单位公开发表CNS及其子刊奖励60分/篇；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  <w:lang w:eastAsia="zh-CN"/>
        </w:rPr>
        <w:t>中科院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</w:rPr>
        <w:t>SCI大类分区</w:t>
      </w:r>
      <w:r>
        <w:rPr>
          <w:rFonts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</w:rPr>
        <w:fldChar w:fldCharType="begin"/>
      </w:r>
      <w:r>
        <w:rPr>
          <w:rFonts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</w:rPr>
        <w:instrText xml:space="preserve"> </w:instrTex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</w:rPr>
        <w:instrText xml:space="preserve">= 1 \* ROMAN</w:instrText>
      </w:r>
      <w:r>
        <w:rPr>
          <w:rFonts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</w:rPr>
        <w:instrText xml:space="preserve"> </w:instrText>
      </w:r>
      <w:r>
        <w:rPr>
          <w:rFonts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</w:rPr>
        <w:fldChar w:fldCharType="separate"/>
      </w:r>
      <w:r>
        <w:rPr>
          <w:rFonts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</w:rPr>
        <w:t>I</w:t>
      </w:r>
      <w:r>
        <w:rPr>
          <w:rFonts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</w:rPr>
        <w:fldChar w:fldCharType="end"/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</w:rPr>
        <w:t>区、Ⅱ区、Ⅲ区、Ⅳ区、SCI（收录但未分区）分别奖励60、40、30、20、15分/篇； EI收录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  <w:lang w:eastAsia="zh-CN"/>
        </w:rPr>
        <w:t>（不含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  <w:lang w:val="en-US" w:eastAsia="zh-CN"/>
        </w:rPr>
        <w:t>EI page one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  <w:lang w:eastAsia="zh-CN"/>
        </w:rPr>
        <w:t>）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</w:rPr>
        <w:t>、CSCD核心库（广东海洋大学学报）收录奖励10分/篇；</w:t>
      </w:r>
      <w:r>
        <w:rPr>
          <w:rFonts w:hint="eastAsia" w:ascii="宋体" w:hAnsi="宋体" w:cs="宋体"/>
          <w:b/>
          <w:color w:val="auto"/>
          <w:kern w:val="0"/>
          <w:sz w:val="26"/>
          <w:szCs w:val="26"/>
          <w:highlight w:val="none"/>
          <w:shd w:val="clear" w:color="auto" w:fill="auto"/>
        </w:rPr>
        <w:t>CPCI收录（原ISTP）、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</w:rPr>
        <w:t>CSCD扩展库、北大核心期刊、中国科技核心期刊、一般期刊的学术论文，分别奖励8、6、4、2、1分/篇。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360" w:lineRule="auto"/>
        <w:ind w:firstLine="660"/>
        <w:jc w:val="left"/>
        <w:textAlignment w:val="auto"/>
        <w:rPr>
          <w:rFonts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</w:rPr>
      </w:pP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</w:rPr>
        <w:t>（2）人文科学类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360" w:lineRule="auto"/>
        <w:ind w:firstLine="660"/>
        <w:jc w:val="left"/>
        <w:textAlignment w:val="auto"/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  <w:lang w:eastAsia="zh-Hans"/>
        </w:rPr>
      </w:pP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  <w:lang w:eastAsia="zh-Hans"/>
        </w:rPr>
        <w:t>研究生在读期间以本人为第一作者、学校为第一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</w:rPr>
        <w:t>完成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  <w:lang w:eastAsia="zh-Hans"/>
        </w:rPr>
        <w:t>单位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</w:rPr>
        <w:t>公开发表的学术论文，发表在《中国社会科学》或收录在S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  <w:lang w:eastAsia="zh-Hans"/>
        </w:rPr>
        <w:t>SCI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</w:rPr>
        <w:t>(当年JCR分区为Q1)奖励60分/篇；收录在S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  <w:lang w:eastAsia="zh-Hans"/>
        </w:rPr>
        <w:t>SCI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</w:rPr>
        <w:t>(当年JCR分区为Q2) 、A&amp;HCI（即艺术与人文科学引文索引）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  <w:lang w:eastAsia="zh-Hans"/>
        </w:rPr>
        <w:t>或CSSCI（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</w:rPr>
        <w:t>我校使用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  <w:lang w:eastAsia="zh-Hans"/>
        </w:rPr>
        <w:t>分区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</w:rPr>
        <w:t>为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  <w:lang w:eastAsia="zh-Hans"/>
        </w:rPr>
        <w:t>1区）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</w:rPr>
        <w:t>、收录在S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  <w:lang w:eastAsia="zh-Hans"/>
        </w:rPr>
        <w:t>SCI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</w:rPr>
        <w:t>(当年JCR分区为Q3)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  <w:lang w:eastAsia="zh-Hans"/>
        </w:rPr>
        <w:t>或CSSCI（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</w:rPr>
        <w:t>我校使用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  <w:lang w:eastAsia="zh-Hans"/>
        </w:rPr>
        <w:t>分区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</w:rPr>
        <w:t>为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  <w:lang w:eastAsia="zh-Hans"/>
        </w:rPr>
        <w:t>2区）或被《新华文摘》全文转载的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</w:rPr>
        <w:t>、收录在S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  <w:lang w:eastAsia="zh-Hans"/>
        </w:rPr>
        <w:t>SCI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</w:rPr>
        <w:t>(当年JCR分区为Q4)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  <w:lang w:eastAsia="zh-Hans"/>
        </w:rPr>
        <w:t>或CSSCI（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</w:rPr>
        <w:t>我校</w:t>
      </w:r>
      <w:bookmarkStart w:id="0" w:name="_GoBack"/>
      <w:bookmarkEnd w:id="0"/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</w:rPr>
        <w:t>使用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  <w:lang w:eastAsia="zh-Hans"/>
        </w:rPr>
        <w:t>分区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</w:rPr>
        <w:t>为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  <w:lang w:eastAsia="zh-Hans"/>
        </w:rPr>
        <w:t>3区）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</w:rPr>
        <w:t>、收录在S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  <w:lang w:eastAsia="zh-Hans"/>
        </w:rPr>
        <w:t>SCI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</w:rPr>
        <w:t>(收录但当年未分区)或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  <w:lang w:eastAsia="zh-Hans"/>
        </w:rPr>
        <w:t>CSSCI（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</w:rPr>
        <w:t>我校使用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  <w:lang w:eastAsia="zh-Hans"/>
        </w:rPr>
        <w:t>分区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</w:rPr>
        <w:t>为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  <w:lang w:eastAsia="zh-Hans"/>
        </w:rPr>
        <w:t>4区）或CSCD核心区或被《人大复印资料》全文转载；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</w:rPr>
        <w:t>分别奖励60、40、30、20、15分/篇。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  <w:lang w:eastAsia="zh-Hans"/>
        </w:rPr>
        <w:t>ISSHP(社会科学及人文科学会议录索引)检索、收录在CSSCI扩展版或北大核心期刊或CSCD扩展区、中国科技核心期刊、发表在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  <w:lang w:eastAsia="zh-CN"/>
        </w:rPr>
        <w:t>其他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  <w:lang w:eastAsia="zh-Hans"/>
        </w:rPr>
        <w:t>国内本科高校学报、发表在其他一般学术期刊，分别奖励10、6、4、2、1分/篇。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360" w:lineRule="auto"/>
        <w:ind w:firstLine="660"/>
        <w:jc w:val="left"/>
        <w:textAlignment w:val="auto"/>
        <w:rPr>
          <w:rFonts w:ascii="宋体" w:hAnsi="宋体" w:cs="宋体"/>
          <w:b/>
          <w:color w:val="auto"/>
          <w:kern w:val="0"/>
          <w:sz w:val="26"/>
          <w:szCs w:val="26"/>
          <w:highlight w:val="none"/>
          <w:shd w:val="clear" w:color="auto" w:fill="auto"/>
        </w:rPr>
      </w:pP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  <w:lang w:eastAsia="zh-Hans"/>
        </w:rPr>
        <w:t>导师为第一作者、本人为第二作者的，按80%计算奖励分。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360" w:lineRule="auto"/>
        <w:ind w:firstLine="660"/>
        <w:jc w:val="left"/>
        <w:textAlignment w:val="auto"/>
        <w:rPr>
          <w:rFonts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  <w:lang w:eastAsia="zh-Hans"/>
        </w:rPr>
      </w:pP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  <w:lang w:eastAsia="zh-Hans"/>
        </w:rPr>
        <w:t>2.学术交流项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360" w:lineRule="auto"/>
        <w:ind w:firstLine="660"/>
        <w:jc w:val="left"/>
        <w:textAlignment w:val="auto"/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  <w:lang w:eastAsia="zh-Hans"/>
        </w:rPr>
        <w:t>出席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</w:rPr>
        <w:t>国际、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  <w:lang w:eastAsia="zh-Hans"/>
        </w:rPr>
        <w:t>国家、省级学术会议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</w:rPr>
        <w:t>并提交会议交流论文分别奖励6、4、2分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  <w:lang w:eastAsia="zh-Hans"/>
        </w:rPr>
        <w:t>/篇；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</w:rPr>
        <w:t>获国际、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  <w:lang w:eastAsia="zh-Hans"/>
        </w:rPr>
        <w:t>国家、省级学术会议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</w:rPr>
        <w:t>优秀论文一、二、三等奖、优秀奖加分见表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  <w:lang w:val="en-US" w:eastAsia="zh-CN"/>
        </w:rPr>
        <w:t>2。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360" w:lineRule="auto"/>
        <w:ind w:firstLine="660"/>
        <w:jc w:val="center"/>
        <w:textAlignment w:val="auto"/>
        <w:rPr>
          <w:rFonts w:hint="default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  <w:lang w:val="en-US" w:eastAsia="zh-CN"/>
        </w:rPr>
        <w:t>表2：学术交流加分标准</w:t>
      </w:r>
    </w:p>
    <w:tbl>
      <w:tblPr>
        <w:tblStyle w:val="2"/>
        <w:tblW w:w="9307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08"/>
        <w:gridCol w:w="1757"/>
        <w:gridCol w:w="1742"/>
        <w:gridCol w:w="1900"/>
        <w:gridCol w:w="190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jc w:val="left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宋体" w:hAnsi="宋体" w:cs="宋体"/>
                <w:b/>
                <w:bCs/>
                <w:color w:val="auto"/>
                <w:kern w:val="0"/>
                <w:sz w:val="22"/>
                <w:highlight w:val="none"/>
                <w:shd w:val="clear" w:color="auto" w:fill="auto"/>
              </w:rPr>
              <w:t>级别</w:t>
            </w:r>
          </w:p>
        </w:tc>
        <w:tc>
          <w:tcPr>
            <w:tcW w:w="175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jc w:val="left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宋体" w:hAnsi="宋体" w:cs="宋体"/>
                <w:b/>
                <w:bCs/>
                <w:color w:val="auto"/>
                <w:kern w:val="0"/>
                <w:sz w:val="22"/>
                <w:highlight w:val="none"/>
                <w:shd w:val="clear" w:color="auto" w:fill="auto"/>
              </w:rPr>
              <w:t>一等奖</w:t>
            </w:r>
          </w:p>
        </w:tc>
        <w:tc>
          <w:tcPr>
            <w:tcW w:w="174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jc w:val="left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宋体" w:hAnsi="宋体" w:cs="宋体"/>
                <w:b/>
                <w:bCs/>
                <w:color w:val="auto"/>
                <w:kern w:val="0"/>
                <w:sz w:val="22"/>
                <w:highlight w:val="none"/>
                <w:shd w:val="clear" w:color="auto" w:fill="auto"/>
              </w:rPr>
              <w:t>二等奖</w:t>
            </w:r>
          </w:p>
        </w:tc>
        <w:tc>
          <w:tcPr>
            <w:tcW w:w="19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jc w:val="left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宋体" w:hAnsi="宋体" w:cs="宋体"/>
                <w:b/>
                <w:bCs/>
                <w:color w:val="auto"/>
                <w:kern w:val="0"/>
                <w:sz w:val="22"/>
                <w:highlight w:val="none"/>
                <w:shd w:val="clear" w:color="auto" w:fill="auto"/>
              </w:rPr>
              <w:t>三等奖</w:t>
            </w:r>
          </w:p>
        </w:tc>
        <w:tc>
          <w:tcPr>
            <w:tcW w:w="19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jc w:val="left"/>
              <w:textAlignment w:val="auto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highlight w:val="none"/>
                <w:shd w:val="clear" w:color="auto" w:fill="auto"/>
              </w:rPr>
              <w:t>优秀奖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jc w:val="left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  <w:shd w:val="clear" w:color="auto" w:fill="auto"/>
              </w:rPr>
              <w:t>国际</w:t>
            </w:r>
          </w:p>
        </w:tc>
        <w:tc>
          <w:tcPr>
            <w:tcW w:w="17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jc w:val="left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  <w:t>10</w:t>
            </w:r>
          </w:p>
        </w:tc>
        <w:tc>
          <w:tcPr>
            <w:tcW w:w="1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jc w:val="left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  <w:t>8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jc w:val="left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  <w:t>6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jc w:val="left"/>
              <w:textAlignment w:val="auto"/>
              <w:rPr>
                <w:rFonts w:ascii="宋体" w:hAnsi="宋体" w:cs="宋体"/>
                <w:color w:val="auto"/>
                <w:kern w:val="0"/>
                <w:sz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  <w:shd w:val="clear" w:color="auto" w:fill="auto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jc w:val="left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  <w:shd w:val="clear" w:color="auto" w:fill="auto"/>
              </w:rPr>
              <w:t>国家</w:t>
            </w:r>
          </w:p>
        </w:tc>
        <w:tc>
          <w:tcPr>
            <w:tcW w:w="17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jc w:val="left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  <w:t>8</w:t>
            </w:r>
          </w:p>
        </w:tc>
        <w:tc>
          <w:tcPr>
            <w:tcW w:w="1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jc w:val="left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  <w:t>6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jc w:val="left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  <w:t>4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jc w:val="left"/>
              <w:textAlignment w:val="auto"/>
              <w:rPr>
                <w:rFonts w:ascii="宋体" w:hAnsi="宋体" w:cs="宋体"/>
                <w:color w:val="auto"/>
                <w:kern w:val="0"/>
                <w:sz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  <w:shd w:val="clear" w:color="auto" w:fill="auto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jc w:val="left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  <w:shd w:val="clear" w:color="auto" w:fill="auto"/>
              </w:rPr>
              <w:t>省级</w:t>
            </w:r>
          </w:p>
        </w:tc>
        <w:tc>
          <w:tcPr>
            <w:tcW w:w="17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jc w:val="left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  <w:t>6</w:t>
            </w:r>
          </w:p>
        </w:tc>
        <w:tc>
          <w:tcPr>
            <w:tcW w:w="1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jc w:val="left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  <w:t>4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jc w:val="left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jc w:val="left"/>
              <w:textAlignment w:val="auto"/>
              <w:rPr>
                <w:rFonts w:ascii="宋体" w:hAnsi="宋体" w:cs="宋体"/>
                <w:color w:val="auto"/>
                <w:kern w:val="0"/>
                <w:sz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  <w:shd w:val="clear" w:color="auto" w:fill="auto"/>
              </w:rPr>
              <w:t>1</w:t>
            </w: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360" w:lineRule="auto"/>
        <w:ind w:firstLine="660"/>
        <w:jc w:val="left"/>
        <w:textAlignment w:val="auto"/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  <w:lang w:eastAsia="zh-Hans"/>
        </w:rPr>
      </w:pP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  <w:lang w:eastAsia="zh-Hans"/>
        </w:rPr>
        <w:t>科研成果项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360" w:lineRule="auto"/>
        <w:jc w:val="center"/>
        <w:textAlignment w:val="auto"/>
        <w:rPr>
          <w:rFonts w:hint="default" w:ascii="宋体" w:hAnsi="宋体" w:eastAsia="宋体" w:cs="宋体"/>
          <w:color w:val="auto"/>
          <w:kern w:val="0"/>
          <w:sz w:val="26"/>
          <w:szCs w:val="26"/>
          <w:highlight w:val="none"/>
          <w:shd w:val="clear" w:color="auto" w:fill="auto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  <w:lang w:eastAsia="zh-CN"/>
        </w:rPr>
        <w:t>表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  <w:lang w:val="en-US" w:eastAsia="zh-CN"/>
        </w:rPr>
        <w:t>3：科研成果加分标准</w:t>
      </w:r>
    </w:p>
    <w:tbl>
      <w:tblPr>
        <w:tblStyle w:val="2"/>
        <w:tblW w:w="0" w:type="auto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69"/>
        <w:gridCol w:w="1898"/>
        <w:gridCol w:w="1882"/>
        <w:gridCol w:w="205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jc w:val="left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宋体" w:hAnsi="宋体" w:cs="宋体"/>
                <w:b/>
                <w:bCs/>
                <w:color w:val="auto"/>
                <w:kern w:val="0"/>
                <w:sz w:val="22"/>
                <w:highlight w:val="none"/>
                <w:shd w:val="clear" w:color="auto" w:fill="auto"/>
              </w:rPr>
              <w:t>级别</w:t>
            </w:r>
          </w:p>
        </w:tc>
        <w:tc>
          <w:tcPr>
            <w:tcW w:w="18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jc w:val="left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宋体" w:hAnsi="宋体" w:cs="宋体"/>
                <w:b/>
                <w:bCs/>
                <w:color w:val="auto"/>
                <w:kern w:val="0"/>
                <w:sz w:val="22"/>
                <w:highlight w:val="none"/>
                <w:shd w:val="clear" w:color="auto" w:fill="auto"/>
              </w:rPr>
              <w:t>一等奖</w:t>
            </w:r>
          </w:p>
        </w:tc>
        <w:tc>
          <w:tcPr>
            <w:tcW w:w="18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jc w:val="left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宋体" w:hAnsi="宋体" w:cs="宋体"/>
                <w:b/>
                <w:bCs/>
                <w:color w:val="auto"/>
                <w:kern w:val="0"/>
                <w:sz w:val="22"/>
                <w:highlight w:val="none"/>
                <w:shd w:val="clear" w:color="auto" w:fill="auto"/>
              </w:rPr>
              <w:t>二等奖</w:t>
            </w:r>
          </w:p>
        </w:tc>
        <w:tc>
          <w:tcPr>
            <w:tcW w:w="205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jc w:val="left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宋体" w:hAnsi="宋体" w:cs="宋体"/>
                <w:b/>
                <w:bCs/>
                <w:color w:val="auto"/>
                <w:kern w:val="0"/>
                <w:sz w:val="22"/>
                <w:highlight w:val="none"/>
                <w:shd w:val="clear" w:color="auto" w:fill="auto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jc w:val="left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宋体" w:hAnsi="宋体" w:cs="宋体"/>
                <w:color w:val="auto"/>
                <w:kern w:val="0"/>
                <w:sz w:val="22"/>
                <w:highlight w:val="none"/>
                <w:shd w:val="clear" w:color="auto" w:fill="auto"/>
              </w:rPr>
              <w:t>国家级</w:t>
            </w:r>
          </w:p>
        </w:tc>
        <w:tc>
          <w:tcPr>
            <w:tcW w:w="18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jc w:val="left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宋体" w:hAnsi="宋体" w:cs="宋体"/>
                <w:color w:val="auto"/>
                <w:kern w:val="0"/>
                <w:sz w:val="22"/>
                <w:highlight w:val="none"/>
                <w:shd w:val="clear" w:color="auto" w:fill="auto"/>
              </w:rPr>
              <w:t>30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jc w:val="left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宋体" w:hAnsi="宋体" w:cs="宋体"/>
                <w:color w:val="auto"/>
                <w:kern w:val="0"/>
                <w:sz w:val="22"/>
                <w:highlight w:val="none"/>
                <w:shd w:val="clear" w:color="auto" w:fill="auto"/>
              </w:rPr>
              <w:t>25</w:t>
            </w:r>
          </w:p>
        </w:tc>
        <w:tc>
          <w:tcPr>
            <w:tcW w:w="20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jc w:val="left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宋体" w:hAnsi="宋体" w:cs="宋体"/>
                <w:color w:val="auto"/>
                <w:kern w:val="0"/>
                <w:sz w:val="22"/>
                <w:highlight w:val="none"/>
                <w:shd w:val="clear" w:color="auto" w:fill="auto"/>
              </w:rPr>
              <w:t>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jc w:val="left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宋体" w:hAnsi="宋体" w:cs="宋体"/>
                <w:color w:val="auto"/>
                <w:kern w:val="0"/>
                <w:sz w:val="22"/>
                <w:highlight w:val="none"/>
                <w:shd w:val="clear" w:color="auto" w:fill="auto"/>
              </w:rPr>
              <w:t>省级</w:t>
            </w:r>
          </w:p>
        </w:tc>
        <w:tc>
          <w:tcPr>
            <w:tcW w:w="18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jc w:val="left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宋体" w:hAnsi="宋体" w:cs="宋体"/>
                <w:color w:val="auto"/>
                <w:kern w:val="0"/>
                <w:sz w:val="22"/>
                <w:highlight w:val="none"/>
                <w:shd w:val="clear" w:color="auto" w:fill="auto"/>
              </w:rPr>
              <w:t>20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jc w:val="left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宋体" w:hAnsi="宋体" w:cs="宋体"/>
                <w:color w:val="auto"/>
                <w:kern w:val="0"/>
                <w:sz w:val="22"/>
                <w:highlight w:val="none"/>
                <w:shd w:val="clear" w:color="auto" w:fill="auto"/>
              </w:rPr>
              <w:t>16</w:t>
            </w:r>
          </w:p>
        </w:tc>
        <w:tc>
          <w:tcPr>
            <w:tcW w:w="20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jc w:val="left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宋体" w:hAnsi="宋体" w:cs="宋体"/>
                <w:color w:val="auto"/>
                <w:kern w:val="0"/>
                <w:sz w:val="22"/>
                <w:highlight w:val="none"/>
                <w:shd w:val="clear" w:color="auto" w:fill="auto"/>
              </w:rPr>
              <w:t>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jc w:val="left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宋体" w:hAnsi="宋体" w:cs="宋体"/>
                <w:color w:val="auto"/>
                <w:kern w:val="0"/>
                <w:sz w:val="22"/>
                <w:highlight w:val="none"/>
                <w:shd w:val="clear" w:color="auto" w:fill="auto"/>
              </w:rPr>
              <w:t>市级</w:t>
            </w:r>
          </w:p>
        </w:tc>
        <w:tc>
          <w:tcPr>
            <w:tcW w:w="18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jc w:val="left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宋体" w:hAnsi="宋体" w:cs="宋体"/>
                <w:color w:val="auto"/>
                <w:kern w:val="0"/>
                <w:sz w:val="22"/>
                <w:highlight w:val="none"/>
                <w:shd w:val="clear" w:color="auto" w:fill="auto"/>
              </w:rPr>
              <w:t>12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jc w:val="left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宋体" w:hAnsi="宋体" w:cs="宋体"/>
                <w:color w:val="auto"/>
                <w:kern w:val="0"/>
                <w:sz w:val="22"/>
                <w:highlight w:val="none"/>
                <w:shd w:val="clear" w:color="auto" w:fill="auto"/>
              </w:rPr>
              <w:t>9</w:t>
            </w:r>
          </w:p>
        </w:tc>
        <w:tc>
          <w:tcPr>
            <w:tcW w:w="20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jc w:val="left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宋体" w:hAnsi="宋体" w:cs="宋体"/>
                <w:color w:val="auto"/>
                <w:kern w:val="0"/>
                <w:sz w:val="22"/>
                <w:highlight w:val="none"/>
                <w:shd w:val="clear" w:color="auto" w:fill="auto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jc w:val="left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宋体" w:hAnsi="宋体" w:cs="宋体"/>
                <w:color w:val="auto"/>
                <w:kern w:val="0"/>
                <w:sz w:val="22"/>
                <w:highlight w:val="none"/>
                <w:shd w:val="clear" w:color="auto" w:fill="auto"/>
              </w:rPr>
              <w:t>校级</w:t>
            </w:r>
          </w:p>
        </w:tc>
        <w:tc>
          <w:tcPr>
            <w:tcW w:w="18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jc w:val="left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宋体" w:hAnsi="宋体" w:cs="宋体"/>
                <w:color w:val="auto"/>
                <w:kern w:val="0"/>
                <w:sz w:val="22"/>
                <w:highlight w:val="none"/>
                <w:shd w:val="clear" w:color="auto" w:fill="auto"/>
              </w:rPr>
              <w:t>8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jc w:val="left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宋体" w:hAnsi="宋体" w:cs="宋体"/>
                <w:color w:val="auto"/>
                <w:kern w:val="0"/>
                <w:sz w:val="22"/>
                <w:highlight w:val="none"/>
                <w:shd w:val="clear" w:color="auto" w:fill="auto"/>
              </w:rPr>
              <w:t>6</w:t>
            </w:r>
          </w:p>
        </w:tc>
        <w:tc>
          <w:tcPr>
            <w:tcW w:w="20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jc w:val="left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宋体" w:hAnsi="宋体" w:cs="宋体"/>
                <w:color w:val="auto"/>
                <w:kern w:val="0"/>
                <w:sz w:val="22"/>
                <w:highlight w:val="none"/>
                <w:shd w:val="clear" w:color="auto" w:fill="auto"/>
              </w:rPr>
              <w:t>4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360" w:lineRule="auto"/>
        <w:ind w:firstLine="660"/>
        <w:jc w:val="left"/>
        <w:textAlignment w:val="auto"/>
        <w:rPr>
          <w:rFonts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</w:rPr>
      </w:pP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  <w:lang w:eastAsia="zh-Hans"/>
        </w:rPr>
        <w:t>获奖项目必须是学校为获奖者第一完成单位，本人在获奖中排名得分权重如下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</w:rPr>
        <w:t>方式计算：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360" w:lineRule="auto"/>
        <w:ind w:firstLine="660"/>
        <w:jc w:val="left"/>
        <w:textAlignment w:val="auto"/>
        <w:rPr>
          <w:rFonts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</w:rPr>
      </w:pP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</w:rPr>
        <w:t>国家级获奖，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  <w:lang w:eastAsia="zh-Hans"/>
        </w:rPr>
        <w:t>排名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</w:rPr>
        <w:t>前七得分计算100%，排名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  <w:lang w:eastAsia="zh-Hans"/>
        </w:rPr>
        <w:t>第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</w:rPr>
        <w:t>八名开始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  <w:lang w:eastAsia="zh-Hans"/>
        </w:rPr>
        <w:t>得分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</w:rPr>
        <w:t>依次计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  <w:lang w:eastAsia="zh-Hans"/>
        </w:rPr>
        <w:t>为：80%、70%、60%、50%、40%、30%、20%、10%、0；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</w:rPr>
        <w:t>省级获奖，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  <w:lang w:eastAsia="zh-Hans"/>
        </w:rPr>
        <w:t>排名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</w:rPr>
        <w:t>前三得分计算100%，排名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  <w:lang w:eastAsia="zh-Hans"/>
        </w:rPr>
        <w:t>第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</w:rPr>
        <w:t>四开始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  <w:lang w:eastAsia="zh-Hans"/>
        </w:rPr>
        <w:t>得分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</w:rPr>
        <w:t>依次计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  <w:lang w:eastAsia="zh-Hans"/>
        </w:rPr>
        <w:t>为：80%、70%、60%、50%、40%、30%、20%、10%、0；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</w:rPr>
        <w:t>市级校级获奖，排名第一得分100%，排名第二开始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  <w:lang w:eastAsia="zh-Hans"/>
        </w:rPr>
        <w:t>得分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</w:rPr>
        <w:t>依次计为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  <w:lang w:eastAsia="zh-Hans"/>
        </w:rPr>
        <w:t>80%、70%、60%、50%、40%、30%、20%、10%、0。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360" w:lineRule="auto"/>
        <w:ind w:firstLine="660"/>
        <w:jc w:val="left"/>
        <w:textAlignment w:val="auto"/>
        <w:rPr>
          <w:rFonts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  <w:lang w:eastAsia="zh-Hans"/>
        </w:rPr>
      </w:pP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  <w:lang w:eastAsia="zh-Hans"/>
        </w:rPr>
        <w:t>4.发明专利项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360" w:lineRule="auto"/>
        <w:ind w:firstLine="660"/>
        <w:jc w:val="left"/>
        <w:textAlignment w:val="auto"/>
        <w:rPr>
          <w:rFonts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  <w:lang w:eastAsia="zh-Hans"/>
        </w:rPr>
      </w:pP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  <w:lang w:eastAsia="zh-Hans"/>
        </w:rPr>
        <w:t>学校作为第一完成单位，获得国家发明专利授权或植物新品种保护登记的，每项奖励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</w:rPr>
        <w:t>15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  <w:lang w:eastAsia="zh-Hans"/>
        </w:rPr>
        <w:t>分；获得国家实用新型专利授权或计算机软件登记著作权的，每项奖励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</w:rPr>
        <w:t>10</w:t>
      </w:r>
      <w:r>
        <w:rPr>
          <w:rFonts w:hint="eastAsia" w:ascii="宋体" w:hAnsi="宋体" w:cs="宋体"/>
          <w:color w:val="auto"/>
          <w:spacing w:val="20"/>
          <w:kern w:val="0"/>
          <w:sz w:val="26"/>
          <w:szCs w:val="26"/>
          <w:highlight w:val="none"/>
          <w:shd w:val="clear" w:color="auto" w:fill="auto"/>
          <w:lang w:eastAsia="zh-Hans"/>
        </w:rPr>
        <w:t>分。本人排名得分权重如下：排名第二至第九名的，得分分别为：80%、70%、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  <w:lang w:eastAsia="zh-Hans"/>
        </w:rPr>
        <w:t>60%、50%、40%、30%、20%、10%。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360" w:lineRule="auto"/>
        <w:jc w:val="center"/>
        <w:textAlignment w:val="auto"/>
        <w:rPr>
          <w:rFonts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</w:rPr>
      </w:pP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</w:rPr>
        <w:t>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360" w:lineRule="auto"/>
        <w:jc w:val="center"/>
        <w:textAlignment w:val="auto"/>
        <w:rPr>
          <w:rFonts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</w:rPr>
      </w:pPr>
      <w:r>
        <w:rPr>
          <w:rFonts w:hint="eastAsia" w:ascii="黑体" w:hAnsi="黑体" w:eastAsia="黑体" w:cs="宋体"/>
          <w:color w:val="auto"/>
          <w:kern w:val="0"/>
          <w:sz w:val="26"/>
          <w:szCs w:val="26"/>
          <w:highlight w:val="none"/>
          <w:shd w:val="clear" w:color="auto" w:fill="auto"/>
        </w:rPr>
        <w:t>第六章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</w:rPr>
        <w:t> </w:t>
      </w:r>
      <w:r>
        <w:rPr>
          <w:rFonts w:hint="eastAsia" w:ascii="黑体" w:hAnsi="黑体" w:eastAsia="黑体" w:cs="宋体"/>
          <w:color w:val="auto"/>
          <w:kern w:val="0"/>
          <w:sz w:val="26"/>
          <w:szCs w:val="26"/>
          <w:highlight w:val="none"/>
          <w:shd w:val="clear" w:color="auto" w:fill="auto"/>
        </w:rPr>
        <w:t xml:space="preserve"> </w:t>
      </w:r>
      <w:r>
        <w:rPr>
          <w:rFonts w:hint="eastAsia" w:ascii="黑体" w:hAnsi="黑体" w:eastAsia="黑体" w:cs="宋体"/>
          <w:color w:val="auto"/>
          <w:kern w:val="0"/>
          <w:sz w:val="26"/>
          <w:szCs w:val="26"/>
          <w:highlight w:val="none"/>
          <w:shd w:val="clear" w:color="auto" w:fill="auto"/>
          <w:lang w:eastAsia="zh-Hans"/>
        </w:rPr>
        <w:t>社会实践评定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360" w:lineRule="auto"/>
        <w:ind w:firstLine="660"/>
        <w:jc w:val="left"/>
        <w:textAlignment w:val="auto"/>
        <w:rPr>
          <w:rFonts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</w:rPr>
      </w:pPr>
      <w:r>
        <w:rPr>
          <w:rFonts w:hint="eastAsia" w:ascii="宋体" w:hAnsi="宋体" w:cs="宋体"/>
          <w:b/>
          <w:bCs/>
          <w:color w:val="auto"/>
          <w:kern w:val="0"/>
          <w:sz w:val="26"/>
          <w:szCs w:val="26"/>
          <w:highlight w:val="none"/>
          <w:shd w:val="clear" w:color="auto" w:fill="auto"/>
        </w:rPr>
        <w:t>第十八条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</w:rPr>
        <w:t xml:space="preserve"> 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  <w:lang w:eastAsia="zh-Hans"/>
        </w:rPr>
        <w:t>社会实践得分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</w:rPr>
        <w:t>（D）= D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  <w:vertAlign w:val="subscript"/>
        </w:rPr>
        <w:t>1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</w:rPr>
        <w:t>+ D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  <w:vertAlign w:val="subscript"/>
        </w:rPr>
        <w:t>2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</w:rPr>
        <w:t>+ D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  <w:vertAlign w:val="subscript"/>
        </w:rPr>
        <w:t>3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</w:rPr>
        <w:t>+ D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  <w:vertAlign w:val="subscript"/>
        </w:rPr>
        <w:t>4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</w:rPr>
        <w:t>+ D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  <w:vertAlign w:val="subscript"/>
        </w:rPr>
        <w:t>5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  <w:lang w:eastAsia="zh-Hans"/>
        </w:rPr>
        <w:t>。本项最高得分为100分。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360" w:lineRule="auto"/>
        <w:ind w:firstLine="660"/>
        <w:jc w:val="left"/>
        <w:textAlignment w:val="auto"/>
        <w:rPr>
          <w:rFonts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</w:rPr>
      </w:pPr>
      <w:r>
        <w:rPr>
          <w:rFonts w:hint="eastAsia" w:ascii="宋体" w:hAnsi="宋体" w:cs="宋体"/>
          <w:b/>
          <w:bCs/>
          <w:color w:val="auto"/>
          <w:kern w:val="0"/>
          <w:sz w:val="26"/>
          <w:szCs w:val="26"/>
          <w:highlight w:val="none"/>
          <w:shd w:val="clear" w:color="auto" w:fill="auto"/>
        </w:rPr>
        <w:t>第十九条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</w:rPr>
        <w:t xml:space="preserve"> 基本分D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  <w:vertAlign w:val="subscript"/>
        </w:rPr>
        <w:t>1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  <w:lang w:eastAsia="zh-Hans"/>
        </w:rPr>
        <w:t>的计算依据为：研究生按照培养方案的规定开展社会实践，写出社会实践总结，并取得合格以上成绩，获得该项基本分。社会实践基本分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</w:rPr>
        <w:t xml:space="preserve"> D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  <w:vertAlign w:val="subscript"/>
        </w:rPr>
        <w:t>1</w:t>
      </w:r>
      <w:r>
        <w:rPr>
          <w:rFonts w:hint="eastAsia" w:ascii="宋体" w:hAnsi="宋体" w:cs="宋体"/>
          <w:color w:val="auto"/>
          <w:kern w:val="0"/>
          <w:sz w:val="32"/>
          <w:szCs w:val="32"/>
          <w:highlight w:val="none"/>
          <w:shd w:val="clear" w:color="auto" w:fill="auto"/>
        </w:rPr>
        <w:t>﹦</w:t>
      </w:r>
      <w:r>
        <w:rPr>
          <w:rFonts w:hint="eastAsia" w:ascii="宋体" w:hAnsi="宋体" w:cs="宋体"/>
          <w:color w:val="auto"/>
          <w:spacing w:val="-20"/>
          <w:kern w:val="0"/>
          <w:sz w:val="26"/>
          <w:szCs w:val="26"/>
          <w:highlight w:val="none"/>
          <w:shd w:val="clear" w:color="auto" w:fill="auto"/>
        </w:rPr>
        <w:t>40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  <w:vertAlign w:val="subscript"/>
          <w:lang w:eastAsia="zh-Hans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360" w:lineRule="auto"/>
        <w:ind w:firstLine="660"/>
        <w:jc w:val="left"/>
        <w:textAlignment w:val="auto"/>
        <w:rPr>
          <w:rFonts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</w:rPr>
      </w:pPr>
      <w:r>
        <w:rPr>
          <w:rFonts w:hint="eastAsia" w:ascii="宋体" w:hAnsi="宋体" w:cs="宋体"/>
          <w:b/>
          <w:bCs/>
          <w:color w:val="auto"/>
          <w:kern w:val="0"/>
          <w:sz w:val="26"/>
          <w:szCs w:val="26"/>
          <w:highlight w:val="none"/>
          <w:shd w:val="clear" w:color="auto" w:fill="auto"/>
        </w:rPr>
        <w:t>第二十条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</w:rPr>
        <w:t xml:space="preserve"> 社会实践D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  <w:vertAlign w:val="subscript"/>
        </w:rPr>
        <w:t>2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</w:rPr>
        <w:t>的计算依据为，研究生入学后从第二学年（期）开始，参加以下社会实践活动：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360" w:lineRule="auto"/>
        <w:ind w:firstLine="660"/>
        <w:jc w:val="left"/>
        <w:textAlignment w:val="auto"/>
        <w:rPr>
          <w:rFonts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  <w:lang w:eastAsia="zh-Hans"/>
        </w:rPr>
      </w:pP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  <w:lang w:eastAsia="zh-Hans"/>
        </w:rPr>
        <w:t>1.经选派参加学校与市委组织部合作的实践锻炼项目满3个月，经考核被评定为优秀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</w:rPr>
        <w:t>、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  <w:lang w:eastAsia="zh-Hans"/>
        </w:rPr>
        <w:t>合格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</w:rPr>
        <w:t>的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  <w:lang w:eastAsia="zh-Hans"/>
        </w:rPr>
        <w:t>，分别获得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</w:rPr>
        <w:t>10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  <w:lang w:eastAsia="zh-Hans"/>
        </w:rPr>
        <w:t>、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</w:rPr>
        <w:t>8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  <w:lang w:eastAsia="zh-Hans"/>
        </w:rPr>
        <w:t>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360" w:lineRule="auto"/>
        <w:ind w:firstLine="660"/>
        <w:jc w:val="left"/>
        <w:textAlignment w:val="auto"/>
        <w:rPr>
          <w:rFonts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  <w:lang w:eastAsia="zh-Hans"/>
        </w:rPr>
      </w:pP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  <w:lang w:eastAsia="zh-Hans"/>
        </w:rPr>
        <w:t>2.参加校内“三助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</w:rPr>
        <w:t>一辅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  <w:lang w:eastAsia="zh-Hans"/>
        </w:rPr>
        <w:t>”工作满一学期，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</w:rPr>
        <w:t>完成情况良好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  <w:lang w:eastAsia="zh-Hans"/>
        </w:rPr>
        <w:t>，获得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</w:rPr>
        <w:t>4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  <w:lang w:eastAsia="zh-Hans"/>
        </w:rPr>
        <w:t>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360" w:lineRule="auto"/>
        <w:ind w:firstLine="660"/>
        <w:jc w:val="left"/>
        <w:textAlignment w:val="auto"/>
        <w:rPr>
          <w:rFonts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</w:rPr>
      </w:pP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  <w:lang w:eastAsia="zh-Hans"/>
        </w:rPr>
        <w:t>3.经研究生院批准并备案，研究生到政府、企业、事业单位从事生产（教学、社会）实践活动，完成情况良好，并提交完整的证明材料（包括实践活动申请报告、审批、实践活动总结报告和实践单位鉴定意见等），为期6个月的，计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</w:rPr>
        <w:t>10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  <w:lang w:eastAsia="zh-Hans"/>
        </w:rPr>
        <w:t>分；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</w:rPr>
        <w:t>3-5个月的，计7分，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  <w:lang w:eastAsia="zh-Hans"/>
        </w:rPr>
        <w:t>1-2个月的，计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</w:rPr>
        <w:t>2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  <w:lang w:eastAsia="zh-Hans"/>
        </w:rPr>
        <w:t>分。实践活动超过6个月者，按6个月计。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360" w:lineRule="auto"/>
        <w:ind w:firstLine="660"/>
        <w:jc w:val="left"/>
        <w:textAlignment w:val="auto"/>
        <w:rPr>
          <w:rFonts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</w:rPr>
      </w:pP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</w:rPr>
        <w:t>4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  <w:lang w:eastAsia="zh-CN"/>
        </w:rPr>
        <w:t>.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</w:rPr>
        <w:t>参加学校组织的 “三下乡”等暑期社会实践活动，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  <w:lang w:eastAsia="zh-Hans"/>
        </w:rPr>
        <w:t>完成情况良好，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</w:rPr>
        <w:t>实践时间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  <w:lang w:eastAsia="zh-Hans"/>
        </w:rPr>
        <w:t>1个月以上的，每人每次获得2分；超过1周而不足1个月的，每人每次获得1分。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360" w:lineRule="auto"/>
        <w:ind w:firstLine="660"/>
        <w:jc w:val="left"/>
        <w:textAlignment w:val="auto"/>
        <w:rPr>
          <w:rFonts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</w:rPr>
      </w:pPr>
      <w:r>
        <w:rPr>
          <w:rFonts w:hint="eastAsia" w:ascii="宋体" w:hAnsi="宋体" w:cs="宋体"/>
          <w:b/>
          <w:bCs/>
          <w:color w:val="auto"/>
          <w:kern w:val="0"/>
          <w:sz w:val="26"/>
          <w:szCs w:val="26"/>
          <w:highlight w:val="none"/>
          <w:shd w:val="clear" w:color="auto" w:fill="auto"/>
        </w:rPr>
        <w:t xml:space="preserve">第二十一条 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</w:rPr>
        <w:t>志愿者活动D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  <w:vertAlign w:val="subscript"/>
        </w:rPr>
        <w:t>3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  <w:lang w:eastAsia="zh-Hans"/>
        </w:rPr>
        <w:t>的计算依据为：由学校组织的志愿者专项活动，完成情况良好，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</w:rPr>
        <w:t>累计参加时间超过50个小时的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  <w:lang w:eastAsia="zh-Hans"/>
        </w:rPr>
        <w:t>，得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</w:rPr>
        <w:t>3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  <w:lang w:eastAsia="zh-Hans"/>
        </w:rPr>
        <w:t>分；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</w:rPr>
        <w:t>累计参加时间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  <w:lang w:eastAsia="zh-Hans"/>
        </w:rPr>
        <w:t>超过25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</w:rPr>
        <w:t>个小时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  <w:lang w:eastAsia="zh-Hans"/>
        </w:rPr>
        <w:t>而不足50个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</w:rPr>
        <w:t>小时的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  <w:lang w:eastAsia="zh-Hans"/>
        </w:rPr>
        <w:t>，获得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</w:rPr>
        <w:t>2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  <w:lang w:eastAsia="zh-Hans"/>
        </w:rPr>
        <w:t>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360" w:lineRule="auto"/>
        <w:ind w:firstLine="660"/>
        <w:jc w:val="left"/>
        <w:textAlignment w:val="auto"/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  <w:lang w:eastAsia="zh-Hans"/>
        </w:rPr>
      </w:pPr>
      <w:r>
        <w:rPr>
          <w:rFonts w:hint="eastAsia" w:ascii="宋体" w:hAnsi="宋体" w:cs="宋体"/>
          <w:b/>
          <w:bCs/>
          <w:color w:val="auto"/>
          <w:kern w:val="0"/>
          <w:sz w:val="26"/>
          <w:szCs w:val="26"/>
          <w:highlight w:val="none"/>
          <w:shd w:val="clear" w:color="auto" w:fill="auto"/>
        </w:rPr>
        <w:t>第二十二条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</w:rPr>
        <w:t xml:space="preserve"> 学生干部D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  <w:vertAlign w:val="subscript"/>
        </w:rPr>
        <w:t>4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  <w:lang w:eastAsia="zh-Hans"/>
        </w:rPr>
        <w:t>的计算依据为：参加学校、学院、班级“自我教育、自我管理、自我服务”工作的研究生干部，工作满一学年的，给予一定的社会实践分。身兼多职者，只计算一项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  <w:lang w:eastAsia="zh-CN"/>
        </w:rPr>
        <w:t>最高分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  <w:lang w:eastAsia="zh-Hans"/>
        </w:rPr>
        <w:t>。学生干部社会实践得分情况如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  <w:lang w:eastAsia="zh-CN"/>
        </w:rPr>
        <w:t>表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  <w:lang w:val="en-US" w:eastAsia="zh-CN"/>
        </w:rPr>
        <w:t>4。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360" w:lineRule="auto"/>
        <w:ind w:firstLine="660"/>
        <w:jc w:val="center"/>
        <w:textAlignment w:val="auto"/>
        <w:rPr>
          <w:rFonts w:hint="default" w:ascii="宋体" w:hAnsi="宋体" w:eastAsia="宋体" w:cs="宋体"/>
          <w:color w:val="auto"/>
          <w:kern w:val="0"/>
          <w:sz w:val="26"/>
          <w:szCs w:val="26"/>
          <w:highlight w:val="none"/>
          <w:shd w:val="clear" w:color="auto" w:fill="auto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  <w:lang w:eastAsia="zh-CN"/>
        </w:rPr>
        <w:t>表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  <w:lang w:val="en-US" w:eastAsia="zh-CN"/>
        </w:rPr>
        <w:t>4：研究生干部加分标准</w:t>
      </w:r>
    </w:p>
    <w:tbl>
      <w:tblPr>
        <w:tblStyle w:val="2"/>
        <w:tblW w:w="0" w:type="auto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736"/>
        <w:gridCol w:w="872"/>
        <w:gridCol w:w="872"/>
        <w:gridCol w:w="104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highlight w:val="none"/>
                <w:shd w:val="clear" w:color="auto" w:fill="auto"/>
              </w:rPr>
              <w:t>岗位</w:t>
            </w:r>
          </w:p>
        </w:tc>
        <w:tc>
          <w:tcPr>
            <w:tcW w:w="9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宋体" w:hAnsi="宋体" w:cs="宋体"/>
                <w:b/>
                <w:bCs/>
                <w:color w:val="auto"/>
                <w:kern w:val="0"/>
                <w:sz w:val="22"/>
                <w:highlight w:val="none"/>
                <w:shd w:val="clear" w:color="auto" w:fill="auto"/>
              </w:rPr>
              <w:t>合格</w:t>
            </w:r>
          </w:p>
        </w:tc>
        <w:tc>
          <w:tcPr>
            <w:tcW w:w="9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宋体" w:hAnsi="宋体" w:cs="宋体"/>
                <w:b/>
                <w:bCs/>
                <w:color w:val="auto"/>
                <w:kern w:val="0"/>
                <w:sz w:val="22"/>
                <w:highlight w:val="none"/>
                <w:shd w:val="clear" w:color="auto" w:fill="auto"/>
              </w:rPr>
              <w:t>优秀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宋体" w:hAnsi="宋体" w:cs="宋体"/>
                <w:b/>
                <w:bCs/>
                <w:color w:val="auto"/>
                <w:kern w:val="0"/>
                <w:sz w:val="22"/>
                <w:highlight w:val="none"/>
                <w:shd w:val="clear" w:color="auto" w:fill="auto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jc w:val="left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  <w:shd w:val="clear" w:color="auto" w:fill="auto"/>
              </w:rPr>
              <w:t>研究生团委副书记、研会主席、研报主编、新媒体主任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宋体" w:hAnsi="宋体" w:cs="宋体"/>
                <w:color w:val="auto"/>
                <w:kern w:val="0"/>
                <w:sz w:val="22"/>
                <w:highlight w:val="none"/>
                <w:shd w:val="clear" w:color="auto" w:fill="auto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宋体" w:hAnsi="宋体" w:cs="宋体"/>
                <w:color w:val="auto"/>
                <w:kern w:val="0"/>
                <w:sz w:val="22"/>
                <w:highlight w:val="none"/>
                <w:shd w:val="clear" w:color="auto" w:fill="auto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宋体" w:hAnsi="宋体" w:cs="宋体"/>
                <w:color w:val="auto"/>
                <w:kern w:val="0"/>
                <w:sz w:val="22"/>
                <w:highlight w:val="none"/>
                <w:shd w:val="clear" w:color="auto" w:fill="auto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jc w:val="left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  <w:shd w:val="clear" w:color="auto" w:fill="auto"/>
              </w:rPr>
              <w:t>研会副主席、研报副主编、新媒体副主任、研会</w:t>
            </w:r>
            <w:r>
              <w:rPr>
                <w:rFonts w:ascii="宋体" w:hAnsi="宋体" w:cs="宋体"/>
                <w:color w:val="auto"/>
                <w:kern w:val="0"/>
                <w:sz w:val="22"/>
                <w:highlight w:val="none"/>
                <w:shd w:val="clear" w:color="auto" w:fill="auto"/>
              </w:rPr>
              <w:t>部长、学院研会主席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宋体" w:hAnsi="宋体" w:cs="宋体"/>
                <w:color w:val="auto"/>
                <w:kern w:val="0"/>
                <w:sz w:val="22"/>
                <w:highlight w:val="none"/>
                <w:shd w:val="clear" w:color="auto" w:fill="auto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宋体" w:hAnsi="宋体" w:cs="宋体"/>
                <w:color w:val="auto"/>
                <w:kern w:val="0"/>
                <w:sz w:val="22"/>
                <w:highlight w:val="none"/>
                <w:shd w:val="clear" w:color="auto" w:fill="auto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宋体" w:hAnsi="宋体" w:cs="宋体"/>
                <w:color w:val="auto"/>
                <w:kern w:val="0"/>
                <w:sz w:val="22"/>
                <w:highlight w:val="none"/>
                <w:shd w:val="clear" w:color="auto" w:fill="auto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jc w:val="left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宋体" w:hAnsi="宋体" w:cs="宋体"/>
                <w:color w:val="auto"/>
                <w:kern w:val="0"/>
                <w:sz w:val="22"/>
                <w:highlight w:val="none"/>
                <w:shd w:val="clear" w:color="auto" w:fill="auto"/>
              </w:rPr>
              <w:t>校研会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  <w:shd w:val="clear" w:color="auto" w:fill="auto"/>
              </w:rPr>
              <w:t>、研报和新媒体</w:t>
            </w:r>
            <w:r>
              <w:rPr>
                <w:rFonts w:ascii="宋体" w:hAnsi="宋体" w:cs="宋体"/>
                <w:color w:val="auto"/>
                <w:kern w:val="0"/>
                <w:sz w:val="22"/>
                <w:highlight w:val="none"/>
                <w:shd w:val="clear" w:color="auto" w:fill="auto"/>
              </w:rPr>
              <w:t>委员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  <w:shd w:val="clear" w:color="auto" w:fill="auto"/>
              </w:rPr>
              <w:t>，</w:t>
            </w:r>
            <w:r>
              <w:rPr>
                <w:rFonts w:ascii="宋体" w:hAnsi="宋体" w:cs="宋体"/>
                <w:color w:val="auto"/>
                <w:kern w:val="0"/>
                <w:sz w:val="22"/>
                <w:highlight w:val="none"/>
                <w:shd w:val="clear" w:color="auto" w:fill="auto"/>
              </w:rPr>
              <w:t>班长、（党、团）支部书记、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  <w:shd w:val="clear" w:color="auto" w:fill="auto"/>
              </w:rPr>
              <w:t>教师担任支部书记的学生党支部副书记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宋体" w:hAnsi="宋体" w:cs="宋体"/>
                <w:color w:val="auto"/>
                <w:kern w:val="0"/>
                <w:sz w:val="22"/>
                <w:highlight w:val="none"/>
                <w:shd w:val="clear" w:color="auto" w:fill="auto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宋体" w:hAnsi="宋体" w:cs="宋体"/>
                <w:color w:val="auto"/>
                <w:kern w:val="0"/>
                <w:sz w:val="22"/>
                <w:highlight w:val="none"/>
                <w:shd w:val="clear" w:color="auto" w:fill="auto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宋体" w:hAnsi="宋体" w:cs="宋体"/>
                <w:color w:val="auto"/>
                <w:kern w:val="0"/>
                <w:sz w:val="22"/>
                <w:highlight w:val="none"/>
                <w:shd w:val="clear" w:color="auto" w:fill="auto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jc w:val="left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宋体" w:hAnsi="宋体" w:cs="宋体"/>
                <w:color w:val="auto"/>
                <w:kern w:val="0"/>
                <w:sz w:val="22"/>
                <w:highlight w:val="none"/>
                <w:shd w:val="clear" w:color="auto" w:fill="auto"/>
              </w:rPr>
              <w:t>班委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  <w:shd w:val="clear" w:color="auto" w:fill="auto"/>
              </w:rPr>
              <w:t>、</w:t>
            </w:r>
            <w:r>
              <w:rPr>
                <w:rFonts w:ascii="宋体" w:hAnsi="宋体" w:cs="宋体"/>
                <w:color w:val="auto"/>
                <w:kern w:val="0"/>
                <w:sz w:val="22"/>
                <w:highlight w:val="none"/>
                <w:shd w:val="clear" w:color="auto" w:fill="auto"/>
              </w:rPr>
              <w:t>团支委、党支委成员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宋体" w:hAnsi="宋体" w:cs="宋体"/>
                <w:color w:val="auto"/>
                <w:kern w:val="0"/>
                <w:sz w:val="22"/>
                <w:highlight w:val="none"/>
                <w:shd w:val="clear" w:color="auto" w:fill="auto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宋体" w:hAnsi="宋体" w:cs="宋体"/>
                <w:color w:val="auto"/>
                <w:kern w:val="0"/>
                <w:sz w:val="22"/>
                <w:highlight w:val="none"/>
                <w:shd w:val="clear" w:color="auto" w:fill="auto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宋体" w:hAnsi="宋体" w:cs="宋体"/>
                <w:color w:val="auto"/>
                <w:kern w:val="0"/>
                <w:sz w:val="22"/>
                <w:highlight w:val="none"/>
                <w:shd w:val="clear" w:color="auto" w:fill="auto"/>
              </w:rPr>
              <w:t> 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360" w:lineRule="auto"/>
        <w:ind w:firstLine="660"/>
        <w:jc w:val="left"/>
        <w:textAlignment w:val="auto"/>
        <w:rPr>
          <w:rFonts w:ascii="宋体" w:hAnsi="宋体" w:cs="宋体"/>
          <w:b w:val="0"/>
          <w:bCs w:val="0"/>
          <w:color w:val="auto"/>
          <w:kern w:val="0"/>
          <w:sz w:val="22"/>
          <w:szCs w:val="26"/>
          <w:highlight w:val="none"/>
          <w:shd w:val="clear" w:color="auto" w:fill="auto"/>
        </w:rPr>
      </w:pPr>
      <w:r>
        <w:rPr>
          <w:rFonts w:hint="eastAsia" w:ascii="宋体" w:hAnsi="宋体" w:cs="宋体"/>
          <w:b w:val="0"/>
          <w:bCs w:val="0"/>
          <w:color w:val="auto"/>
          <w:kern w:val="0"/>
          <w:sz w:val="22"/>
          <w:szCs w:val="26"/>
          <w:highlight w:val="none"/>
          <w:shd w:val="clear" w:color="auto" w:fill="auto"/>
          <w:lang w:eastAsia="zh-CN"/>
        </w:rPr>
        <w:t>注：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2"/>
          <w:szCs w:val="26"/>
          <w:highlight w:val="none"/>
          <w:shd w:val="clear" w:color="auto" w:fill="auto"/>
        </w:rPr>
        <w:t>校研究生干部由校研究生团委学生会组织考核，学院研究生干部由学院组织考核，考核优秀比例不超过20%。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360" w:lineRule="auto"/>
        <w:ind w:firstLine="660"/>
        <w:jc w:val="left"/>
        <w:textAlignment w:val="auto"/>
        <w:rPr>
          <w:rFonts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</w:rPr>
      </w:pPr>
      <w:r>
        <w:rPr>
          <w:rFonts w:hint="eastAsia" w:ascii="宋体" w:hAnsi="宋体" w:cs="宋体"/>
          <w:b/>
          <w:bCs/>
          <w:color w:val="auto"/>
          <w:kern w:val="0"/>
          <w:sz w:val="26"/>
          <w:szCs w:val="26"/>
          <w:highlight w:val="none"/>
          <w:shd w:val="clear" w:color="auto" w:fill="auto"/>
        </w:rPr>
        <w:t>第二十三条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</w:rPr>
        <w:t xml:space="preserve"> 参加科技、文化、体育等项目竞赛获奖D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  <w:vertAlign w:val="subscript"/>
        </w:rPr>
        <w:t>5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</w:rPr>
        <w:t>的计算依据为：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360" w:lineRule="auto"/>
        <w:ind w:firstLine="660"/>
        <w:jc w:val="left"/>
        <w:textAlignment w:val="auto"/>
        <w:rPr>
          <w:rFonts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</w:rPr>
      </w:pP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</w:rPr>
        <w:t>1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  <w:lang w:eastAsia="zh-Hans"/>
        </w:rPr>
        <w:t>.代表学校参加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</w:rPr>
        <w:t>国家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  <w:lang w:eastAsia="zh-Hans"/>
        </w:rPr>
        <w:t>级竞赛项目，获得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</w:rPr>
        <w:t>一、二、三等奖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  <w:lang w:eastAsia="zh-Hans"/>
        </w:rPr>
        <w:t>，分别奖励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</w:rPr>
        <w:t>10、8、6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  <w:lang w:eastAsia="zh-Hans"/>
        </w:rPr>
        <w:t>分；参加并获荣誉的，获4分；参加并完成任务的，获2分。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360" w:lineRule="auto"/>
        <w:ind w:firstLine="660"/>
        <w:jc w:val="left"/>
        <w:textAlignment w:val="auto"/>
        <w:rPr>
          <w:rFonts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  <w:lang w:eastAsia="zh-Hans"/>
        </w:rPr>
      </w:pP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</w:rPr>
        <w:t>2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  <w:lang w:eastAsia="zh-Hans"/>
        </w:rPr>
        <w:t>.代表学校参加省级竞赛项目，获得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</w:rPr>
        <w:t>一、二、三等奖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  <w:lang w:eastAsia="zh-Hans"/>
        </w:rPr>
        <w:t>，分别奖励8、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</w:rPr>
        <w:t>6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  <w:lang w:eastAsia="zh-Hans"/>
        </w:rPr>
        <w:t>、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</w:rPr>
        <w:t>4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  <w:lang w:eastAsia="zh-Hans"/>
        </w:rPr>
        <w:t>分；参加并获荣誉的，获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</w:rPr>
        <w:t>3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  <w:lang w:eastAsia="zh-Hans"/>
        </w:rPr>
        <w:t>分；参加并完成任务的，获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</w:rPr>
        <w:t>1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  <w:lang w:eastAsia="zh-Hans"/>
        </w:rPr>
        <w:t>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360" w:lineRule="auto"/>
        <w:ind w:firstLine="660"/>
        <w:jc w:val="left"/>
        <w:textAlignment w:val="auto"/>
        <w:rPr>
          <w:rFonts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  <w:lang w:eastAsia="zh-Hans"/>
        </w:rPr>
      </w:pP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</w:rPr>
        <w:t>3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  <w:lang w:eastAsia="zh-Hans"/>
        </w:rPr>
        <w:t>.参加市级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</w:rPr>
        <w:t>、学校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  <w:lang w:eastAsia="zh-Hans"/>
        </w:rPr>
        <w:t>竞赛项目，获得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</w:rPr>
        <w:t>一、二、三等奖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  <w:lang w:eastAsia="zh-Hans"/>
        </w:rPr>
        <w:t>，分别奖励6、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</w:rPr>
        <w:t>4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  <w:lang w:eastAsia="zh-Hans"/>
        </w:rPr>
        <w:t>、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</w:rPr>
        <w:t>3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  <w:lang w:eastAsia="zh-Hans"/>
        </w:rPr>
        <w:t>分；参加并获荣誉的，获2分；参加并完成任务的，获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</w:rPr>
        <w:t>1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  <w:lang w:eastAsia="zh-Hans"/>
        </w:rPr>
        <w:t>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360" w:lineRule="auto"/>
        <w:ind w:firstLine="660"/>
        <w:jc w:val="left"/>
        <w:textAlignment w:val="auto"/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</w:rPr>
      </w:pP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  <w:lang w:val="en-US" w:eastAsia="zh-CN"/>
        </w:rPr>
        <w:t>4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  <w:lang w:eastAsia="zh-Hans"/>
        </w:rPr>
        <w:t>.同一项目（或同类奖项）只计算一项（次）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  <w:lang w:eastAsia="zh-CN"/>
        </w:rPr>
        <w:t>最高分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  <w:lang w:eastAsia="zh-Hans"/>
        </w:rPr>
        <w:t>。团体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</w:rPr>
        <w:t>或集体参加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  <w:lang w:eastAsia="zh-Hans"/>
        </w:rPr>
        <w:t>项目得分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</w:rPr>
        <w:t>标准为：2-3人、4-6人、7人以上得分标准为全额的85%、70%和50%。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360" w:lineRule="auto"/>
        <w:ind w:firstLine="660"/>
        <w:jc w:val="left"/>
        <w:textAlignment w:val="auto"/>
        <w:rPr>
          <w:rFonts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360" w:lineRule="auto"/>
        <w:jc w:val="center"/>
        <w:textAlignment w:val="auto"/>
        <w:rPr>
          <w:rFonts w:hint="eastAsia" w:ascii="黑体" w:hAnsi="黑体" w:eastAsia="黑体" w:cs="宋体"/>
          <w:color w:val="auto"/>
          <w:kern w:val="0"/>
          <w:sz w:val="26"/>
          <w:szCs w:val="26"/>
          <w:highlight w:val="none"/>
          <w:shd w:val="clear" w:color="auto" w:fill="auto"/>
        </w:rPr>
      </w:pPr>
      <w:r>
        <w:rPr>
          <w:rFonts w:hint="eastAsia" w:ascii="黑体" w:hAnsi="黑体" w:eastAsia="黑体" w:cs="宋体"/>
          <w:color w:val="auto"/>
          <w:kern w:val="0"/>
          <w:sz w:val="26"/>
          <w:szCs w:val="26"/>
          <w:highlight w:val="none"/>
          <w:shd w:val="clear" w:color="auto" w:fill="auto"/>
        </w:rPr>
        <w:t>第七章  综合测评的组织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360" w:lineRule="auto"/>
        <w:ind w:firstLine="525"/>
        <w:textAlignment w:val="auto"/>
        <w:rPr>
          <w:rFonts w:hint="eastAsia" w:ascii="黑体" w:hAnsi="黑体" w:eastAsia="黑体" w:cs="宋体"/>
          <w:color w:val="auto"/>
          <w:kern w:val="0"/>
          <w:sz w:val="26"/>
          <w:szCs w:val="26"/>
          <w:highlight w:val="none"/>
          <w:shd w:val="clear" w:color="auto" w:fill="auto"/>
        </w:rPr>
      </w:pPr>
      <w:r>
        <w:rPr>
          <w:rFonts w:hint="eastAsia" w:ascii="黑体" w:hAnsi="黑体" w:eastAsia="黑体" w:cs="宋体"/>
          <w:color w:val="auto"/>
          <w:kern w:val="0"/>
          <w:sz w:val="26"/>
          <w:szCs w:val="26"/>
          <w:highlight w:val="none"/>
          <w:shd w:val="clear" w:color="auto" w:fill="auto"/>
        </w:rPr>
        <w:t xml:space="preserve">第二十四条  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  <w:lang w:eastAsia="zh-Hans"/>
        </w:rPr>
        <w:t>研究生综合测评一般安排在新学年开学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</w:rPr>
        <w:t>第一个月</w:t>
      </w:r>
      <w:r>
        <w:rPr>
          <w:rFonts w:hint="eastAsia" w:ascii="宋体" w:hAnsi="宋体" w:cs="宋体"/>
          <w:color w:val="auto"/>
          <w:spacing w:val="20"/>
          <w:kern w:val="0"/>
          <w:sz w:val="26"/>
          <w:szCs w:val="26"/>
          <w:highlight w:val="none"/>
          <w:shd w:val="clear" w:color="auto" w:fill="auto"/>
          <w:lang w:eastAsia="zh-Hans"/>
        </w:rPr>
        <w:t>进行，也可根据各类评奖要求进行。</w:t>
      </w:r>
      <w:r>
        <w:rPr>
          <w:rFonts w:hint="eastAsia" w:ascii="宋体" w:hAnsi="宋体" w:cs="宋体"/>
          <w:color w:val="auto"/>
          <w:spacing w:val="20"/>
          <w:kern w:val="0"/>
          <w:sz w:val="26"/>
          <w:szCs w:val="26"/>
          <w:highlight w:val="none"/>
          <w:shd w:val="clear" w:color="auto" w:fill="auto"/>
        </w:rPr>
        <w:t>按照研究生自评、学院研究生综合测评工作小组审核、公示、校研究生综合测评领导小组审定的程序来组织开展评定工作。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360" w:lineRule="auto"/>
        <w:ind w:firstLine="525"/>
        <w:textAlignment w:val="auto"/>
        <w:rPr>
          <w:rFonts w:hint="eastAsia" w:ascii="宋体" w:hAnsi="宋体" w:eastAsia="宋体" w:cs="宋体"/>
          <w:color w:val="auto"/>
          <w:kern w:val="0"/>
          <w:sz w:val="26"/>
          <w:szCs w:val="26"/>
          <w:highlight w:val="none"/>
          <w:shd w:val="clear" w:color="auto" w:fill="auto"/>
        </w:rPr>
      </w:pPr>
      <w:r>
        <w:rPr>
          <w:rFonts w:hint="eastAsia" w:ascii="黑体" w:hAnsi="黑体" w:eastAsia="黑体" w:cs="宋体"/>
          <w:color w:val="auto"/>
          <w:kern w:val="0"/>
          <w:sz w:val="26"/>
          <w:szCs w:val="26"/>
          <w:highlight w:val="none"/>
          <w:shd w:val="clear" w:color="auto" w:fill="auto"/>
        </w:rPr>
        <w:t xml:space="preserve">第二十五条  </w:t>
      </w:r>
      <w:r>
        <w:rPr>
          <w:rFonts w:hint="eastAsia" w:ascii="宋体" w:hAnsi="宋体" w:eastAsia="宋体" w:cs="宋体"/>
          <w:color w:val="auto"/>
          <w:kern w:val="0"/>
          <w:sz w:val="26"/>
          <w:szCs w:val="26"/>
          <w:highlight w:val="none"/>
          <w:shd w:val="clear" w:color="auto" w:fill="auto"/>
        </w:rPr>
        <w:t>学校成立研究生综合测评工作领导小组，由研究生院（党委研究生工作部）负责人、研究生辅导员和研究生团</w:t>
      </w:r>
      <w:r>
        <w:rPr>
          <w:rFonts w:hint="eastAsia" w:ascii="宋体" w:hAnsi="宋体" w:eastAsia="宋体" w:cs="宋体"/>
          <w:color w:val="auto"/>
          <w:kern w:val="0"/>
          <w:sz w:val="26"/>
          <w:szCs w:val="26"/>
          <w:highlight w:val="none"/>
          <w:shd w:val="clear" w:color="auto" w:fill="auto"/>
          <w:lang w:eastAsia="zh-CN"/>
        </w:rPr>
        <w:t>委干部</w:t>
      </w:r>
      <w:r>
        <w:rPr>
          <w:rFonts w:hint="eastAsia" w:ascii="宋体" w:hAnsi="宋体" w:eastAsia="宋体" w:cs="宋体"/>
          <w:color w:val="auto"/>
          <w:kern w:val="0"/>
          <w:sz w:val="26"/>
          <w:szCs w:val="26"/>
          <w:highlight w:val="none"/>
          <w:shd w:val="clear" w:color="auto" w:fill="auto"/>
        </w:rPr>
        <w:t>等人员组成，主要负责全校研究生综合测评工作的组织，对相关计分项目进行认定，对提出的异议进行研究和裁决。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360" w:lineRule="auto"/>
        <w:ind w:firstLine="525"/>
        <w:textAlignment w:val="auto"/>
        <w:rPr>
          <w:rFonts w:hint="eastAsia" w:ascii="宋体" w:hAnsi="宋体" w:eastAsia="宋体" w:cs="宋体"/>
          <w:color w:val="auto"/>
          <w:kern w:val="0"/>
          <w:sz w:val="26"/>
          <w:szCs w:val="26"/>
          <w:highlight w:val="none"/>
          <w:shd w:val="clear" w:color="auto" w:fill="auto"/>
        </w:rPr>
      </w:pPr>
      <w:r>
        <w:rPr>
          <w:rFonts w:hint="eastAsia" w:ascii="黑体" w:hAnsi="黑体" w:eastAsia="黑体" w:cs="宋体"/>
          <w:color w:val="auto"/>
          <w:kern w:val="0"/>
          <w:sz w:val="26"/>
          <w:szCs w:val="26"/>
          <w:highlight w:val="none"/>
          <w:shd w:val="clear" w:color="auto" w:fill="auto"/>
        </w:rPr>
        <w:t xml:space="preserve">第二十六条  </w:t>
      </w:r>
      <w:r>
        <w:rPr>
          <w:rFonts w:hint="eastAsia" w:ascii="宋体" w:hAnsi="宋体" w:eastAsia="宋体" w:cs="宋体"/>
          <w:color w:val="auto"/>
          <w:kern w:val="0"/>
          <w:sz w:val="26"/>
          <w:szCs w:val="26"/>
          <w:highlight w:val="none"/>
          <w:shd w:val="clear" w:color="auto" w:fill="auto"/>
        </w:rPr>
        <w:t>各研究生培养学院成立相应的研究生综合测评工作小组，由</w:t>
      </w:r>
      <w:r>
        <w:rPr>
          <w:rFonts w:hint="eastAsia" w:ascii="宋体" w:hAnsi="宋体" w:eastAsia="宋体" w:cs="宋体"/>
          <w:color w:val="auto"/>
          <w:kern w:val="0"/>
          <w:sz w:val="26"/>
          <w:szCs w:val="26"/>
          <w:highlight w:val="none"/>
          <w:shd w:val="clear" w:color="auto" w:fill="auto"/>
          <w:lang w:eastAsia="zh-CN"/>
        </w:rPr>
        <w:t>分管研究生培养工作的领导、</w:t>
      </w:r>
      <w:r>
        <w:rPr>
          <w:rFonts w:hint="eastAsia" w:ascii="宋体" w:hAnsi="宋体" w:eastAsia="宋体" w:cs="宋体"/>
          <w:color w:val="auto"/>
          <w:kern w:val="0"/>
          <w:sz w:val="26"/>
          <w:szCs w:val="26"/>
          <w:highlight w:val="none"/>
          <w:shd w:val="clear" w:color="auto" w:fill="auto"/>
        </w:rPr>
        <w:t>研究生辅导员、学院办公室人员和研究生骨干等人员组成。主要负责本学院研究生综合测评工作的组织，对相关计分项目作出核准和认定，对参评研究生综合测评给予计分，对提出的异议进行研究和裁决。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360" w:lineRule="auto"/>
        <w:jc w:val="center"/>
        <w:textAlignment w:val="auto"/>
        <w:rPr>
          <w:rFonts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</w:rPr>
      </w:pPr>
      <w:r>
        <w:rPr>
          <w:rFonts w:hint="eastAsia" w:ascii="黑体" w:hAnsi="黑体" w:eastAsia="黑体" w:cs="宋体"/>
          <w:color w:val="auto"/>
          <w:kern w:val="0"/>
          <w:sz w:val="26"/>
          <w:szCs w:val="26"/>
          <w:highlight w:val="none"/>
          <w:shd w:val="clear" w:color="auto" w:fill="auto"/>
        </w:rPr>
        <w:t>第八章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</w:rPr>
        <w:t> </w:t>
      </w:r>
      <w:r>
        <w:rPr>
          <w:rFonts w:hint="eastAsia" w:ascii="黑体" w:hAnsi="黑体" w:eastAsia="黑体" w:cs="宋体"/>
          <w:color w:val="auto"/>
          <w:kern w:val="0"/>
          <w:sz w:val="26"/>
          <w:szCs w:val="26"/>
          <w:highlight w:val="none"/>
          <w:shd w:val="clear" w:color="auto" w:fill="auto"/>
        </w:rPr>
        <w:t xml:space="preserve"> </w:t>
      </w:r>
      <w:r>
        <w:rPr>
          <w:rFonts w:hint="eastAsia" w:ascii="黑体" w:hAnsi="黑体" w:eastAsia="黑体" w:cs="宋体"/>
          <w:color w:val="auto"/>
          <w:kern w:val="0"/>
          <w:sz w:val="26"/>
          <w:szCs w:val="26"/>
          <w:highlight w:val="none"/>
          <w:shd w:val="clear" w:color="auto" w:fill="auto"/>
          <w:lang w:eastAsia="zh-Hans"/>
        </w:rPr>
        <w:t>特别条款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360" w:lineRule="auto"/>
        <w:ind w:firstLine="660"/>
        <w:jc w:val="left"/>
        <w:textAlignment w:val="auto"/>
        <w:rPr>
          <w:rFonts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</w:rPr>
      </w:pPr>
      <w:r>
        <w:rPr>
          <w:rFonts w:hint="eastAsia" w:ascii="宋体" w:hAnsi="宋体" w:cs="宋体"/>
          <w:b/>
          <w:bCs/>
          <w:color w:val="auto"/>
          <w:kern w:val="0"/>
          <w:sz w:val="26"/>
          <w:szCs w:val="26"/>
          <w:highlight w:val="none"/>
          <w:shd w:val="clear" w:color="auto" w:fill="auto"/>
        </w:rPr>
        <w:t>第二十七条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</w:rPr>
        <w:t xml:space="preserve"> 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  <w:lang w:eastAsia="zh-Hans"/>
        </w:rPr>
        <w:t>发生以下情形之一者，在依据本办法开展的相关评优和评选奖学金时实行一票否决：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360" w:lineRule="auto"/>
        <w:ind w:firstLine="660"/>
        <w:jc w:val="left"/>
        <w:textAlignment w:val="auto"/>
        <w:rPr>
          <w:rFonts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  <w:lang w:eastAsia="zh-Hans"/>
        </w:rPr>
      </w:pP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  <w:lang w:eastAsia="zh-Hans"/>
        </w:rPr>
        <w:t>1.存在论文抄袭、造假或一稿多投等学术不端行为者。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360" w:lineRule="auto"/>
        <w:ind w:firstLine="660"/>
        <w:jc w:val="left"/>
        <w:textAlignment w:val="auto"/>
        <w:rPr>
          <w:rFonts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</w:rPr>
      </w:pP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  <w:lang w:eastAsia="zh-Hans"/>
        </w:rPr>
        <w:t>2.未办请假手续离校1周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</w:rPr>
        <w:t>以上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  <w:lang w:eastAsia="zh-Hans"/>
        </w:rPr>
        <w:t>（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</w:rPr>
        <w:t>不含7天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  <w:lang w:eastAsia="zh-Hans"/>
        </w:rPr>
        <w:t>），或离校学习、考察及进行科研工作后，逾期1周未按时返校且事先未向研究生院申述理由者。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360" w:lineRule="auto"/>
        <w:ind w:firstLine="660"/>
        <w:jc w:val="left"/>
        <w:textAlignment w:val="auto"/>
        <w:rPr>
          <w:rFonts w:ascii="宋体" w:hAnsi="宋体" w:cs="宋体"/>
          <w:i/>
          <w:color w:val="auto"/>
          <w:kern w:val="0"/>
          <w:sz w:val="26"/>
          <w:szCs w:val="26"/>
          <w:highlight w:val="none"/>
          <w:shd w:val="clear" w:color="auto" w:fill="auto"/>
          <w:lang w:eastAsia="zh-Hans"/>
        </w:rPr>
      </w:pP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  <w:lang w:eastAsia="zh-Hans"/>
        </w:rPr>
        <w:t>3.受到学校警告以上的纪律处分者；或虽暂未受纪律处分，但按《广东海洋大学学生纪律处分规定》和《广东海洋大学全日制研究生学籍管理暂行办法》相关规定，对违法、违纪、违规行为事实认定清楚，达到警告以上纪律处分者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360" w:lineRule="auto"/>
        <w:jc w:val="center"/>
        <w:textAlignment w:val="auto"/>
        <w:rPr>
          <w:rFonts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  <w:lang w:eastAsia="zh-Hans"/>
        </w:rPr>
      </w:pPr>
      <w:r>
        <w:rPr>
          <w:rFonts w:hint="eastAsia" w:ascii="黑体" w:hAnsi="黑体" w:eastAsia="黑体" w:cs="宋体"/>
          <w:color w:val="auto"/>
          <w:kern w:val="0"/>
          <w:sz w:val="26"/>
          <w:szCs w:val="26"/>
          <w:highlight w:val="none"/>
          <w:shd w:val="clear" w:color="auto" w:fill="auto"/>
          <w:lang w:eastAsia="zh-Hans"/>
        </w:rPr>
        <w:t>第</w:t>
      </w:r>
      <w:r>
        <w:rPr>
          <w:rFonts w:hint="eastAsia" w:ascii="黑体" w:hAnsi="黑体" w:eastAsia="黑体" w:cs="宋体"/>
          <w:color w:val="auto"/>
          <w:kern w:val="0"/>
          <w:sz w:val="26"/>
          <w:szCs w:val="26"/>
          <w:highlight w:val="none"/>
          <w:shd w:val="clear" w:color="auto" w:fill="auto"/>
        </w:rPr>
        <w:t>九</w:t>
      </w:r>
      <w:r>
        <w:rPr>
          <w:rFonts w:hint="eastAsia" w:ascii="黑体" w:hAnsi="黑体" w:eastAsia="黑体" w:cs="宋体"/>
          <w:color w:val="auto"/>
          <w:kern w:val="0"/>
          <w:sz w:val="26"/>
          <w:szCs w:val="26"/>
          <w:highlight w:val="none"/>
          <w:shd w:val="clear" w:color="auto" w:fill="auto"/>
          <w:lang w:eastAsia="zh-Hans"/>
        </w:rPr>
        <w:t>章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  <w:lang w:eastAsia="zh-Hans"/>
        </w:rPr>
        <w:t> </w:t>
      </w:r>
      <w:r>
        <w:rPr>
          <w:rFonts w:hint="eastAsia" w:ascii="黑体" w:hAnsi="黑体" w:eastAsia="黑体" w:cs="宋体"/>
          <w:color w:val="auto"/>
          <w:kern w:val="0"/>
          <w:sz w:val="26"/>
          <w:szCs w:val="26"/>
          <w:highlight w:val="none"/>
          <w:shd w:val="clear" w:color="auto" w:fill="auto"/>
          <w:lang w:eastAsia="zh-Hans"/>
        </w:rPr>
        <w:t xml:space="preserve"> 附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  <w:lang w:eastAsia="zh-Hans"/>
        </w:rPr>
        <w:t> </w:t>
      </w:r>
      <w:r>
        <w:rPr>
          <w:rFonts w:hint="eastAsia" w:ascii="黑体" w:hAnsi="黑体" w:eastAsia="黑体" w:cs="宋体"/>
          <w:color w:val="auto"/>
          <w:kern w:val="0"/>
          <w:sz w:val="26"/>
          <w:szCs w:val="26"/>
          <w:highlight w:val="none"/>
          <w:shd w:val="clear" w:color="auto" w:fill="auto"/>
          <w:lang w:eastAsia="zh-Hans"/>
        </w:rPr>
        <w:t xml:space="preserve"> 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shd w:val="clear" w:color="auto" w:fill="auto"/>
        </w:rPr>
      </w:pPr>
      <w:r>
        <w:rPr>
          <w:rFonts w:hint="eastAsia" w:ascii="黑体" w:hAnsi="黑体" w:eastAsia="黑体" w:cs="黑体"/>
          <w:color w:val="auto"/>
          <w:sz w:val="28"/>
          <w:szCs w:val="28"/>
          <w:highlight w:val="none"/>
          <w:shd w:val="clear" w:color="auto" w:fill="auto"/>
        </w:rPr>
        <w:t xml:space="preserve">第二十八条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shd w:val="clear" w:color="auto" w:fill="auto"/>
        </w:rPr>
        <w:t>关于本办法所涉及的论文、成果及奖项的有关说明：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1.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shd w:val="clear" w:color="auto" w:fill="auto"/>
        </w:rPr>
        <w:t>发表论文的除特别说明外，均指本人为第一作者（若为共同第一作者，本人排序第一）、学校为第一完成单位、在国内外公开出版的刊物上发表与本人研究领域相关的学术论文。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shd w:val="clear" w:color="auto" w:fill="auto"/>
        </w:rPr>
        <w:t>所获的知识产权应为：学校为第一完成单位、本人排名第一（或者导师排名第一，本人排名第二）并且所获得的知识产权与本人从事的学位论文或研究领域相关。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shd w:val="clear" w:color="auto" w:fill="auto"/>
        </w:rPr>
        <w:t>相关获奖项目的认定参照《广东海洋大学大学生创新创业竞赛及类别》相关规定，或者经学校研究生综合测评工作领导小组认定的其它项目。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4.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shd w:val="clear" w:color="auto" w:fill="auto"/>
        </w:rPr>
        <w:t>中文核心期刊目录参照当年北京大学图书馆《中文核心期刊目录》。南大核心期刊目录参照当年南京大学“中文社会科学引文索引”来源期刊及其扩展版来源期刊目录。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360" w:lineRule="auto"/>
        <w:ind w:firstLine="658"/>
        <w:jc w:val="left"/>
        <w:textAlignment w:val="auto"/>
        <w:rPr>
          <w:rFonts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  <w:lang w:eastAsia="zh-Hans"/>
        </w:rPr>
      </w:pPr>
      <w:r>
        <w:rPr>
          <w:rFonts w:hint="eastAsia" w:ascii="宋体" w:hAnsi="宋体" w:cs="宋体"/>
          <w:b/>
          <w:bCs/>
          <w:color w:val="auto"/>
          <w:kern w:val="0"/>
          <w:sz w:val="26"/>
          <w:szCs w:val="26"/>
          <w:highlight w:val="none"/>
          <w:shd w:val="clear" w:color="auto" w:fill="auto"/>
          <w:lang w:eastAsia="zh-Hans"/>
        </w:rPr>
        <w:t>第二十</w:t>
      </w:r>
      <w:r>
        <w:rPr>
          <w:rFonts w:hint="eastAsia" w:ascii="宋体" w:hAnsi="宋体" w:cs="宋体"/>
          <w:b/>
          <w:bCs/>
          <w:color w:val="auto"/>
          <w:kern w:val="0"/>
          <w:sz w:val="26"/>
          <w:szCs w:val="26"/>
          <w:highlight w:val="none"/>
          <w:shd w:val="clear" w:color="auto" w:fill="auto"/>
        </w:rPr>
        <w:t>九</w:t>
      </w:r>
      <w:r>
        <w:rPr>
          <w:rFonts w:hint="eastAsia" w:ascii="宋体" w:hAnsi="宋体" w:cs="宋体"/>
          <w:b/>
          <w:bCs/>
          <w:color w:val="auto"/>
          <w:kern w:val="0"/>
          <w:sz w:val="26"/>
          <w:szCs w:val="26"/>
          <w:highlight w:val="none"/>
          <w:shd w:val="clear" w:color="auto" w:fill="auto"/>
          <w:lang w:eastAsia="zh-Hans"/>
        </w:rPr>
        <w:t>条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  <w:lang w:eastAsia="zh-Hans"/>
        </w:rPr>
        <w:t xml:space="preserve"> 研究生休学或非公派出国学习3个月以上者，不参加评价；公派出国学习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</w:rPr>
        <w:t>者可按实际参评。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  <w:lang w:eastAsia="zh-Hans"/>
        </w:rPr>
        <w:t>若已获得相应奖助学金或津贴的，在离校期间停发，复学或回国后恢复发放，但不补发。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rPr>
          <w:rFonts w:hint="eastAsia" w:ascii="宋体" w:hAnsi="宋体" w:cs="宋体"/>
          <w:b/>
          <w:bCs/>
          <w:color w:val="auto"/>
          <w:kern w:val="0"/>
          <w:sz w:val="26"/>
          <w:szCs w:val="26"/>
          <w:highlight w:val="none"/>
          <w:shd w:val="clear" w:color="auto" w:fill="auto"/>
          <w:lang w:eastAsia="zh-Hans"/>
        </w:rPr>
        <w:t>第</w:t>
      </w:r>
      <w:r>
        <w:rPr>
          <w:rFonts w:hint="eastAsia" w:ascii="宋体" w:hAnsi="宋体" w:cs="宋体"/>
          <w:b/>
          <w:bCs/>
          <w:color w:val="auto"/>
          <w:kern w:val="0"/>
          <w:sz w:val="26"/>
          <w:szCs w:val="26"/>
          <w:highlight w:val="none"/>
          <w:shd w:val="clear" w:color="auto" w:fill="auto"/>
        </w:rPr>
        <w:t>三</w:t>
      </w:r>
      <w:r>
        <w:rPr>
          <w:rFonts w:hint="eastAsia" w:ascii="宋体" w:hAnsi="宋体" w:cs="宋体"/>
          <w:b/>
          <w:bCs/>
          <w:color w:val="auto"/>
          <w:kern w:val="0"/>
          <w:sz w:val="26"/>
          <w:szCs w:val="26"/>
          <w:highlight w:val="none"/>
          <w:shd w:val="clear" w:color="auto" w:fill="auto"/>
          <w:lang w:eastAsia="zh-Hans"/>
        </w:rPr>
        <w:t>十条</w:t>
      </w:r>
      <w:r>
        <w:rPr>
          <w:rFonts w:hint="eastAsia" w:ascii="宋体" w:hAnsi="宋体" w:cs="宋体"/>
          <w:b/>
          <w:bCs/>
          <w:color w:val="auto"/>
          <w:kern w:val="0"/>
          <w:sz w:val="26"/>
          <w:szCs w:val="26"/>
          <w:highlight w:val="none"/>
          <w:shd w:val="clear" w:color="auto" w:fill="auto"/>
        </w:rPr>
        <w:t xml:space="preserve">  </w:t>
      </w:r>
      <w:r>
        <w:rPr>
          <w:rFonts w:hint="eastAsia" w:ascii="宋体" w:hAnsi="宋体" w:eastAsia="宋体" w:cs="宋体"/>
          <w:color w:val="auto"/>
          <w:spacing w:val="20"/>
          <w:kern w:val="0"/>
          <w:sz w:val="26"/>
          <w:szCs w:val="26"/>
          <w:highlight w:val="none"/>
          <w:shd w:val="clear" w:color="auto" w:fill="auto"/>
          <w:lang w:eastAsia="zh-Hans"/>
        </w:rPr>
        <w:t>研究生综合测评结果可作为研究生国家奖学</w:t>
      </w:r>
      <w:r>
        <w:rPr>
          <w:rFonts w:hint="eastAsia" w:ascii="宋体" w:hAnsi="宋体" w:eastAsia="宋体" w:cs="宋体"/>
          <w:color w:val="auto"/>
          <w:kern w:val="0"/>
          <w:sz w:val="26"/>
          <w:szCs w:val="26"/>
          <w:highlight w:val="none"/>
          <w:shd w:val="clear" w:color="auto" w:fill="auto"/>
          <w:lang w:eastAsia="zh-Hans"/>
        </w:rPr>
        <w:t>金、学业奖学金、学校奖助学金、社会奖学金以及学校优秀研究生、优秀研究生干部等项目评选的重要依据。本办法由研究生院负责解释</w:t>
      </w:r>
      <w:r>
        <w:rPr>
          <w:rFonts w:hint="eastAsia" w:ascii="宋体" w:hAnsi="宋体" w:eastAsia="宋体" w:cs="宋体"/>
          <w:color w:val="auto"/>
          <w:kern w:val="0"/>
          <w:sz w:val="26"/>
          <w:szCs w:val="26"/>
          <w:highlight w:val="none"/>
          <w:shd w:val="clear" w:color="auto" w:fill="auto"/>
        </w:rPr>
        <w:t>，</w:t>
      </w:r>
      <w:r>
        <w:rPr>
          <w:rFonts w:hint="eastAsia" w:ascii="宋体" w:hAnsi="宋体" w:eastAsia="宋体" w:cs="宋体"/>
          <w:color w:val="auto"/>
          <w:kern w:val="0"/>
          <w:sz w:val="26"/>
          <w:szCs w:val="26"/>
          <w:highlight w:val="none"/>
          <w:shd w:val="clear" w:color="auto" w:fill="auto"/>
          <w:lang w:eastAsia="zh-Hans"/>
        </w:rPr>
        <w:t>自发布之日起实施</w:t>
      </w:r>
      <w:r>
        <w:rPr>
          <w:rFonts w:hint="eastAsia" w:ascii="宋体" w:hAnsi="宋体" w:cs="宋体"/>
          <w:color w:val="auto"/>
          <w:kern w:val="0"/>
          <w:sz w:val="26"/>
          <w:szCs w:val="26"/>
          <w:highlight w:val="none"/>
          <w:shd w:val="clear" w:color="auto" w:fill="auto"/>
          <w:lang w:eastAsia="zh-Hans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8171FA4"/>
    <w:multiLevelType w:val="singleLevel"/>
    <w:tmpl w:val="D8171FA4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F9751E"/>
    <w:rsid w:val="0FF50883"/>
    <w:rsid w:val="17F9751E"/>
    <w:rsid w:val="1AE62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2019-11-19T07:31:00Z</dcterms:created>
  <dc:creator>添</dc:creator>
  <cp:lastModifiedBy>添</cp:lastModifiedBy>
  <dcterms:modified xsi:type="dcterms:W3CDTF">2019-11-19T08:07:07Z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